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A3CD" w14:textId="16E8912F" w:rsidR="00F96E03" w:rsidRPr="00DD5EE6" w:rsidRDefault="00F96E03" w:rsidP="00DD5EE6">
      <w:pPr>
        <w:pStyle w:val="BodyText2"/>
        <w:rPr>
          <w:sz w:val="24"/>
          <w:szCs w:val="24"/>
        </w:rPr>
      </w:pPr>
      <w:r w:rsidRPr="00DD5EE6">
        <w:rPr>
          <w:sz w:val="24"/>
          <w:szCs w:val="24"/>
        </w:rPr>
        <w:t xml:space="preserve">AN ORDINANCE OF THE </w:t>
      </w:r>
      <w:r w:rsidR="00AC5E11" w:rsidRPr="00DD5EE6">
        <w:rPr>
          <w:sz w:val="24"/>
          <w:szCs w:val="24"/>
        </w:rPr>
        <w:t>CITY OF HEBRON</w:t>
      </w:r>
      <w:r w:rsidRPr="00DD5EE6">
        <w:rPr>
          <w:sz w:val="24"/>
          <w:szCs w:val="24"/>
        </w:rPr>
        <w:t xml:space="preserve">, NEBRASKA, ESTABLISHING RATES TO BE CHARGED BY THE </w:t>
      </w:r>
      <w:r w:rsidR="00AC5E11" w:rsidRPr="00DD5EE6">
        <w:rPr>
          <w:sz w:val="24"/>
          <w:szCs w:val="24"/>
        </w:rPr>
        <w:t>CITY</w:t>
      </w:r>
      <w:r w:rsidRPr="00DD5EE6">
        <w:rPr>
          <w:sz w:val="24"/>
          <w:szCs w:val="24"/>
        </w:rPr>
        <w:t xml:space="preserve"> FOR ELECTRICAL SERVICES TO THE PUBLIC; REPEALING ALL OTHER RATES OR ORDINANCES AND PART OF ORDINANCES IN CONFLICT WITH THE PROVISIONS OF THIS ORDINANCE; AND ESTABLISHING THE EFFECTIVE DATE.</w:t>
      </w:r>
    </w:p>
    <w:p w14:paraId="3E81A2A6" w14:textId="77777777" w:rsidR="00E56D77" w:rsidRPr="00DD5EE6" w:rsidRDefault="00E56D77" w:rsidP="00E56D77">
      <w:pPr>
        <w:pStyle w:val="BodyText"/>
        <w:jc w:val="both"/>
        <w:rPr>
          <w:rFonts w:cs="Arial"/>
          <w:b w:val="0"/>
          <w:sz w:val="24"/>
          <w:szCs w:val="24"/>
        </w:rPr>
      </w:pPr>
    </w:p>
    <w:p w14:paraId="250215F0" w14:textId="4FC6BE67" w:rsidR="00E97571" w:rsidRPr="00DD5EE6" w:rsidRDefault="00E97571" w:rsidP="00E56D77">
      <w:pPr>
        <w:pStyle w:val="BodyText"/>
        <w:ind w:firstLine="720"/>
        <w:jc w:val="both"/>
        <w:rPr>
          <w:rFonts w:cs="Arial"/>
          <w:b w:val="0"/>
          <w:sz w:val="24"/>
          <w:szCs w:val="24"/>
        </w:rPr>
      </w:pPr>
      <w:r w:rsidRPr="00DD5EE6">
        <w:rPr>
          <w:rFonts w:cs="Arial"/>
          <w:b w:val="0"/>
          <w:sz w:val="24"/>
          <w:szCs w:val="24"/>
        </w:rPr>
        <w:t xml:space="preserve">WHEREAS, in accordance with </w:t>
      </w:r>
      <w:r w:rsidR="00AC5E11" w:rsidRPr="00DD5EE6">
        <w:rPr>
          <w:rFonts w:cs="Arial"/>
          <w:b w:val="0"/>
          <w:sz w:val="24"/>
          <w:szCs w:val="24"/>
        </w:rPr>
        <w:t>Hebron</w:t>
      </w:r>
      <w:r w:rsidRPr="00DD5EE6">
        <w:rPr>
          <w:rFonts w:cs="Arial"/>
          <w:b w:val="0"/>
          <w:sz w:val="24"/>
          <w:szCs w:val="24"/>
        </w:rPr>
        <w:t xml:space="preserve"> Municipal Code</w:t>
      </w:r>
      <w:r w:rsidR="00DD24C7" w:rsidRPr="00DD5EE6">
        <w:rPr>
          <w:rFonts w:cs="Arial"/>
          <w:b w:val="0"/>
          <w:sz w:val="24"/>
          <w:szCs w:val="24"/>
        </w:rPr>
        <w:t xml:space="preserve">, the </w:t>
      </w:r>
      <w:r w:rsidR="00AC5E11" w:rsidRPr="00DD5EE6">
        <w:rPr>
          <w:rFonts w:cs="Arial"/>
          <w:b w:val="0"/>
          <w:sz w:val="24"/>
          <w:szCs w:val="24"/>
        </w:rPr>
        <w:t>City Council</w:t>
      </w:r>
      <w:r w:rsidR="00DD24C7" w:rsidRPr="00DD5EE6">
        <w:rPr>
          <w:rFonts w:cs="Arial"/>
          <w:b w:val="0"/>
          <w:sz w:val="24"/>
          <w:szCs w:val="24"/>
        </w:rPr>
        <w:t xml:space="preserve"> </w:t>
      </w:r>
      <w:r w:rsidRPr="00DD5EE6">
        <w:rPr>
          <w:rFonts w:cs="Arial"/>
          <w:b w:val="0"/>
          <w:sz w:val="24"/>
          <w:szCs w:val="24"/>
        </w:rPr>
        <w:t>has the power and authority to fix the rates to be paid for electrical consumption; and</w:t>
      </w:r>
    </w:p>
    <w:p w14:paraId="57183EAE" w14:textId="58296BA2" w:rsidR="00E97571" w:rsidRPr="00DD5EE6" w:rsidRDefault="00E97571" w:rsidP="00E56D77">
      <w:pPr>
        <w:pStyle w:val="BodyText"/>
        <w:ind w:firstLine="720"/>
        <w:jc w:val="both"/>
        <w:rPr>
          <w:rFonts w:cs="Arial"/>
          <w:b w:val="0"/>
          <w:sz w:val="24"/>
          <w:szCs w:val="24"/>
        </w:rPr>
      </w:pPr>
    </w:p>
    <w:p w14:paraId="48130F33" w14:textId="158EC752" w:rsidR="00E97571" w:rsidRPr="00DD5EE6" w:rsidRDefault="00E97571" w:rsidP="00E56D77">
      <w:pPr>
        <w:pStyle w:val="BodyText"/>
        <w:ind w:firstLine="720"/>
        <w:jc w:val="both"/>
        <w:rPr>
          <w:rFonts w:cs="Arial"/>
          <w:b w:val="0"/>
          <w:sz w:val="24"/>
          <w:szCs w:val="24"/>
        </w:rPr>
      </w:pPr>
      <w:proofErr w:type="gramStart"/>
      <w:r w:rsidRPr="00DD5EE6">
        <w:rPr>
          <w:rFonts w:cs="Arial"/>
          <w:b w:val="0"/>
          <w:sz w:val="24"/>
          <w:szCs w:val="24"/>
        </w:rPr>
        <w:t>WHEREAS,</w:t>
      </w:r>
      <w:proofErr w:type="gramEnd"/>
      <w:r w:rsidRPr="00DD5EE6">
        <w:rPr>
          <w:rFonts w:cs="Arial"/>
          <w:b w:val="0"/>
          <w:sz w:val="24"/>
          <w:szCs w:val="24"/>
        </w:rPr>
        <w:t xml:space="preserve"> the rates as hereinafter set forth shall be on file for public inspection at the office of the </w:t>
      </w:r>
      <w:r w:rsidR="00AC5E11" w:rsidRPr="00DD5EE6">
        <w:rPr>
          <w:rFonts w:cs="Arial"/>
          <w:b w:val="0"/>
          <w:sz w:val="24"/>
          <w:szCs w:val="24"/>
        </w:rPr>
        <w:t>City</w:t>
      </w:r>
      <w:r w:rsidRPr="00DD5EE6">
        <w:rPr>
          <w:rFonts w:cs="Arial"/>
          <w:b w:val="0"/>
          <w:sz w:val="24"/>
          <w:szCs w:val="24"/>
        </w:rPr>
        <w:t xml:space="preserve"> Clerk upon their adoption.</w:t>
      </w:r>
    </w:p>
    <w:p w14:paraId="7D4F6F95" w14:textId="77777777" w:rsidR="00E97571" w:rsidRPr="00DD5EE6" w:rsidRDefault="00E97571" w:rsidP="00E56D77">
      <w:pPr>
        <w:pStyle w:val="BodyText"/>
        <w:ind w:firstLine="720"/>
        <w:jc w:val="both"/>
        <w:rPr>
          <w:rFonts w:cs="Arial"/>
          <w:b w:val="0"/>
          <w:sz w:val="24"/>
          <w:szCs w:val="24"/>
        </w:rPr>
      </w:pPr>
    </w:p>
    <w:p w14:paraId="0E499678" w14:textId="0AA9BC55" w:rsidR="00E56D77" w:rsidRPr="00DD5EE6" w:rsidRDefault="00E56D77" w:rsidP="00E56D77">
      <w:pPr>
        <w:pStyle w:val="BodyText"/>
        <w:ind w:firstLine="720"/>
        <w:jc w:val="both"/>
        <w:rPr>
          <w:rFonts w:cs="Arial"/>
          <w:b w:val="0"/>
          <w:sz w:val="24"/>
          <w:szCs w:val="24"/>
        </w:rPr>
      </w:pPr>
      <w:r w:rsidRPr="00DD5EE6">
        <w:rPr>
          <w:rFonts w:cs="Arial"/>
          <w:b w:val="0"/>
          <w:sz w:val="24"/>
          <w:szCs w:val="24"/>
        </w:rPr>
        <w:t xml:space="preserve">BE IT RESOLVED BY THE </w:t>
      </w:r>
      <w:r w:rsidR="00AC5E11" w:rsidRPr="00DD5EE6">
        <w:rPr>
          <w:rFonts w:cs="Arial"/>
          <w:b w:val="0"/>
          <w:sz w:val="24"/>
          <w:szCs w:val="24"/>
        </w:rPr>
        <w:t>MAYOR</w:t>
      </w:r>
      <w:r w:rsidRPr="00DD5EE6">
        <w:rPr>
          <w:rFonts w:cs="Arial"/>
          <w:b w:val="0"/>
          <w:sz w:val="24"/>
          <w:szCs w:val="24"/>
        </w:rPr>
        <w:t xml:space="preserve"> AND </w:t>
      </w:r>
      <w:r w:rsidR="00AC5E11" w:rsidRPr="00DD5EE6">
        <w:rPr>
          <w:rFonts w:cs="Arial"/>
          <w:b w:val="0"/>
          <w:sz w:val="24"/>
          <w:szCs w:val="24"/>
        </w:rPr>
        <w:t>CITY COUNCIL</w:t>
      </w:r>
      <w:r w:rsidR="00B57B6E" w:rsidRPr="00DD5EE6">
        <w:rPr>
          <w:rFonts w:cs="Arial"/>
          <w:b w:val="0"/>
          <w:sz w:val="24"/>
          <w:szCs w:val="24"/>
        </w:rPr>
        <w:t xml:space="preserve"> OF THE </w:t>
      </w:r>
      <w:r w:rsidR="00AC5E11" w:rsidRPr="00DD5EE6">
        <w:rPr>
          <w:rFonts w:cs="Arial"/>
          <w:b w:val="0"/>
          <w:sz w:val="24"/>
          <w:szCs w:val="24"/>
        </w:rPr>
        <w:t>CITY</w:t>
      </w:r>
      <w:r w:rsidR="00B57B6E" w:rsidRPr="00DD5EE6">
        <w:rPr>
          <w:rFonts w:cs="Arial"/>
          <w:b w:val="0"/>
          <w:sz w:val="24"/>
          <w:szCs w:val="24"/>
        </w:rPr>
        <w:t xml:space="preserve"> OF </w:t>
      </w:r>
      <w:r w:rsidR="00AC5E11" w:rsidRPr="00DD5EE6">
        <w:rPr>
          <w:rFonts w:cs="Arial"/>
          <w:b w:val="0"/>
          <w:sz w:val="24"/>
          <w:szCs w:val="24"/>
        </w:rPr>
        <w:t>HEBRON</w:t>
      </w:r>
      <w:r w:rsidR="00B57B6E" w:rsidRPr="00DD5EE6">
        <w:rPr>
          <w:rFonts w:cs="Arial"/>
          <w:b w:val="0"/>
          <w:sz w:val="24"/>
          <w:szCs w:val="24"/>
        </w:rPr>
        <w:t>, NEBRASKA:</w:t>
      </w:r>
    </w:p>
    <w:p w14:paraId="381E3D1B" w14:textId="77777777" w:rsidR="00985F46" w:rsidRPr="00DD5EE6" w:rsidRDefault="00985F46" w:rsidP="00E56D77">
      <w:pPr>
        <w:ind w:firstLine="720"/>
        <w:jc w:val="both"/>
        <w:rPr>
          <w:rFonts w:cs="Arial"/>
          <w:bCs/>
        </w:rPr>
      </w:pPr>
    </w:p>
    <w:p w14:paraId="7B1B0188" w14:textId="0F13CE72" w:rsidR="00F96E03" w:rsidRDefault="00E56D77" w:rsidP="00071BC3">
      <w:pPr>
        <w:ind w:firstLine="720"/>
        <w:jc w:val="both"/>
        <w:rPr>
          <w:rFonts w:cs="Arial"/>
          <w:bCs/>
        </w:rPr>
      </w:pPr>
      <w:r w:rsidRPr="00DD5EE6">
        <w:rPr>
          <w:rFonts w:cs="Arial"/>
          <w:b/>
          <w:bCs/>
        </w:rPr>
        <w:t>Section 1</w:t>
      </w:r>
      <w:r w:rsidRPr="00DD5EE6">
        <w:rPr>
          <w:rFonts w:cs="Arial"/>
          <w:bCs/>
        </w:rPr>
        <w:t xml:space="preserve">:  </w:t>
      </w:r>
      <w:r w:rsidR="00F96E03" w:rsidRPr="00DD5EE6">
        <w:rPr>
          <w:rFonts w:cs="Arial"/>
          <w:bCs/>
        </w:rPr>
        <w:t xml:space="preserve">The </w:t>
      </w:r>
      <w:r w:rsidR="00AC5E11" w:rsidRPr="00DD5EE6">
        <w:rPr>
          <w:rFonts w:cs="Arial"/>
          <w:bCs/>
        </w:rPr>
        <w:t>City of Hebron</w:t>
      </w:r>
      <w:r w:rsidR="00F96E03" w:rsidRPr="00DD5EE6">
        <w:rPr>
          <w:rFonts w:cs="Arial"/>
          <w:bCs/>
        </w:rPr>
        <w:t xml:space="preserve"> shall charge the </w:t>
      </w:r>
      <w:r w:rsidRPr="00DD5EE6">
        <w:rPr>
          <w:rFonts w:cs="Arial"/>
          <w:bCs/>
        </w:rPr>
        <w:t xml:space="preserve">following rates and </w:t>
      </w:r>
      <w:r w:rsidR="002579F5" w:rsidRPr="00DD5EE6">
        <w:rPr>
          <w:rFonts w:cs="Arial"/>
          <w:bCs/>
        </w:rPr>
        <w:t>for electric service</w:t>
      </w:r>
      <w:r w:rsidR="00F96E03" w:rsidRPr="00DD5EE6">
        <w:rPr>
          <w:rFonts w:cs="Arial"/>
          <w:bCs/>
        </w:rPr>
        <w:t xml:space="preserve">.  </w:t>
      </w:r>
    </w:p>
    <w:p w14:paraId="05E3A171" w14:textId="77777777" w:rsidR="00DD5EE6" w:rsidRPr="00DD5EE6" w:rsidRDefault="00DD5EE6" w:rsidP="00071BC3">
      <w:pPr>
        <w:ind w:firstLine="720"/>
        <w:jc w:val="both"/>
        <w:rPr>
          <w:rFonts w:cs="Arial"/>
          <w:bCs/>
        </w:rPr>
      </w:pPr>
    </w:p>
    <w:p w14:paraId="419B386B" w14:textId="74369693" w:rsidR="00E56D77" w:rsidRPr="00DD5EE6" w:rsidRDefault="00F96E03" w:rsidP="00071BC3">
      <w:pPr>
        <w:ind w:firstLine="720"/>
        <w:jc w:val="both"/>
        <w:rPr>
          <w:rFonts w:cs="Arial"/>
          <w:bCs/>
        </w:rPr>
      </w:pPr>
      <w:r w:rsidRPr="00DD5EE6">
        <w:rPr>
          <w:rFonts w:cs="Arial"/>
          <w:bCs/>
        </w:rPr>
        <w:t xml:space="preserve">As provided in this Ordinance, summer rates shall be </w:t>
      </w:r>
      <w:r w:rsidR="00F32838" w:rsidRPr="00DD5EE6">
        <w:rPr>
          <w:rFonts w:cs="Arial"/>
          <w:bCs/>
        </w:rPr>
        <w:t xml:space="preserve">applied </w:t>
      </w:r>
      <w:r w:rsidRPr="00DD5EE6">
        <w:rPr>
          <w:rFonts w:cs="Arial"/>
          <w:bCs/>
        </w:rPr>
        <w:t xml:space="preserve">for </w:t>
      </w:r>
      <w:r w:rsidR="002579F5" w:rsidRPr="00DD5EE6">
        <w:rPr>
          <w:rFonts w:cs="Arial"/>
          <w:bCs/>
        </w:rPr>
        <w:t xml:space="preserve">usage during </w:t>
      </w:r>
      <w:r w:rsidRPr="00DD5EE6">
        <w:rPr>
          <w:rFonts w:cs="Arial"/>
          <w:bCs/>
        </w:rPr>
        <w:t xml:space="preserve">the </w:t>
      </w:r>
      <w:r w:rsidR="00F32838" w:rsidRPr="00DD5EE6">
        <w:rPr>
          <w:rFonts w:cs="Arial"/>
          <w:bCs/>
        </w:rPr>
        <w:t>period of</w:t>
      </w:r>
      <w:r w:rsidRPr="00DD5EE6">
        <w:rPr>
          <w:rFonts w:cs="Arial"/>
          <w:bCs/>
        </w:rPr>
        <w:t xml:space="preserve"> </w:t>
      </w:r>
      <w:r w:rsidR="00AC5E11" w:rsidRPr="00DD5EE6">
        <w:rPr>
          <w:rFonts w:cs="Arial"/>
          <w:bCs/>
        </w:rPr>
        <w:t>May</w:t>
      </w:r>
      <w:r w:rsidR="00F32838" w:rsidRPr="00DD5EE6">
        <w:rPr>
          <w:rFonts w:cs="Arial"/>
          <w:bCs/>
        </w:rPr>
        <w:t xml:space="preserve"> 15 through October 15</w:t>
      </w:r>
      <w:r w:rsidRPr="00DD5EE6">
        <w:rPr>
          <w:rFonts w:cs="Arial"/>
          <w:bCs/>
        </w:rPr>
        <w:t xml:space="preserve"> </w:t>
      </w:r>
      <w:r w:rsidR="00A22090">
        <w:rPr>
          <w:rFonts w:cs="Arial"/>
          <w:bCs/>
        </w:rPr>
        <w:t xml:space="preserve">(based on </w:t>
      </w:r>
      <w:r w:rsidR="00D548C9">
        <w:rPr>
          <w:rFonts w:cs="Arial"/>
          <w:bCs/>
        </w:rPr>
        <w:t>billings</w:t>
      </w:r>
      <w:r w:rsidR="00A22090">
        <w:rPr>
          <w:rFonts w:cs="Arial"/>
          <w:bCs/>
        </w:rPr>
        <w:t xml:space="preserve"> occurring in June through October) </w:t>
      </w:r>
      <w:r w:rsidRPr="00DD5EE6">
        <w:rPr>
          <w:rFonts w:cs="Arial"/>
          <w:bCs/>
        </w:rPr>
        <w:t xml:space="preserve">and winter rates shall be for </w:t>
      </w:r>
      <w:r w:rsidR="002579F5" w:rsidRPr="00DD5EE6">
        <w:rPr>
          <w:rFonts w:cs="Arial"/>
          <w:bCs/>
        </w:rPr>
        <w:t xml:space="preserve">usage during </w:t>
      </w:r>
      <w:r w:rsidRPr="00DD5EE6">
        <w:rPr>
          <w:rFonts w:cs="Arial"/>
          <w:bCs/>
        </w:rPr>
        <w:t xml:space="preserve">the </w:t>
      </w:r>
      <w:r w:rsidR="00F32838" w:rsidRPr="00DD5EE6">
        <w:rPr>
          <w:rFonts w:cs="Arial"/>
          <w:bCs/>
        </w:rPr>
        <w:t>period</w:t>
      </w:r>
      <w:r w:rsidRPr="00DD5EE6">
        <w:rPr>
          <w:rFonts w:cs="Arial"/>
          <w:bCs/>
        </w:rPr>
        <w:t xml:space="preserve"> of October </w:t>
      </w:r>
      <w:r w:rsidR="00F32838" w:rsidRPr="00DD5EE6">
        <w:rPr>
          <w:rFonts w:cs="Arial"/>
          <w:bCs/>
        </w:rPr>
        <w:t xml:space="preserve">15 </w:t>
      </w:r>
      <w:r w:rsidRPr="00DD5EE6">
        <w:rPr>
          <w:rFonts w:cs="Arial"/>
          <w:bCs/>
        </w:rPr>
        <w:t xml:space="preserve">through </w:t>
      </w:r>
      <w:r w:rsidR="00F32838" w:rsidRPr="00DD5EE6">
        <w:rPr>
          <w:rFonts w:cs="Arial"/>
          <w:bCs/>
        </w:rPr>
        <w:t>May 15</w:t>
      </w:r>
      <w:r w:rsidR="00A22090">
        <w:rPr>
          <w:rFonts w:cs="Arial"/>
          <w:bCs/>
        </w:rPr>
        <w:t xml:space="preserve"> (based on </w:t>
      </w:r>
      <w:r w:rsidR="00D548C9">
        <w:rPr>
          <w:rFonts w:cs="Arial"/>
          <w:bCs/>
        </w:rPr>
        <w:t>billings</w:t>
      </w:r>
      <w:r w:rsidR="00A22090">
        <w:rPr>
          <w:rFonts w:cs="Arial"/>
          <w:bCs/>
        </w:rPr>
        <w:t xml:space="preserve"> occurring </w:t>
      </w:r>
      <w:r w:rsidR="00FC24BC">
        <w:rPr>
          <w:rFonts w:cs="Arial"/>
          <w:bCs/>
        </w:rPr>
        <w:t xml:space="preserve">in </w:t>
      </w:r>
      <w:r w:rsidR="00A22090">
        <w:rPr>
          <w:rFonts w:cs="Arial"/>
          <w:bCs/>
        </w:rPr>
        <w:t>November through May)</w:t>
      </w:r>
      <w:r w:rsidRPr="00DD5EE6">
        <w:rPr>
          <w:rFonts w:cs="Arial"/>
          <w:bCs/>
        </w:rPr>
        <w:t>.</w:t>
      </w:r>
    </w:p>
    <w:p w14:paraId="7AD0413A" w14:textId="77777777" w:rsidR="000A17F1" w:rsidRPr="00DD5EE6" w:rsidRDefault="000A17F1" w:rsidP="000A17F1">
      <w:pPr>
        <w:jc w:val="both"/>
        <w:rPr>
          <w:rFonts w:cs="Arial"/>
        </w:rPr>
      </w:pPr>
    </w:p>
    <w:p w14:paraId="22633E8A" w14:textId="6D0DD11E" w:rsidR="00985F46" w:rsidRPr="00DD5EE6" w:rsidRDefault="00985F46" w:rsidP="00071BC3">
      <w:pPr>
        <w:pStyle w:val="ListParagraph"/>
        <w:numPr>
          <w:ilvl w:val="0"/>
          <w:numId w:val="2"/>
        </w:numPr>
        <w:ind w:left="720" w:hanging="720"/>
        <w:jc w:val="both"/>
        <w:rPr>
          <w:rFonts w:cs="Arial"/>
        </w:rPr>
      </w:pPr>
      <w:r w:rsidRPr="00DD5EE6">
        <w:rPr>
          <w:rFonts w:cs="Arial"/>
          <w:b/>
        </w:rPr>
        <w:t xml:space="preserve">Residential </w:t>
      </w:r>
    </w:p>
    <w:p w14:paraId="54630055" w14:textId="77777777" w:rsidR="00985F46" w:rsidRPr="00DD5EE6" w:rsidRDefault="00985F46" w:rsidP="00985F46">
      <w:pPr>
        <w:jc w:val="both"/>
        <w:rPr>
          <w:rFonts w:cs="Arial"/>
        </w:rPr>
      </w:pPr>
    </w:p>
    <w:p w14:paraId="7510B2AA" w14:textId="2B0417CA" w:rsidR="00985F46" w:rsidRPr="00DD5EE6" w:rsidRDefault="00985F46" w:rsidP="00071BC3">
      <w:pPr>
        <w:ind w:left="720" w:hanging="720"/>
        <w:jc w:val="both"/>
        <w:rPr>
          <w:rFonts w:cs="Arial"/>
        </w:rPr>
      </w:pPr>
      <w:r w:rsidRPr="00DD5EE6">
        <w:rPr>
          <w:rFonts w:cs="Arial"/>
        </w:rPr>
        <w:tab/>
      </w:r>
      <w:r w:rsidRPr="00DD5EE6">
        <w:rPr>
          <w:rFonts w:cs="Arial"/>
          <w:b/>
        </w:rPr>
        <w:t>Availability</w:t>
      </w:r>
      <w:r w:rsidRPr="00DD5EE6">
        <w:rPr>
          <w:rFonts w:cs="Arial"/>
        </w:rPr>
        <w:t>:  Available to single family residences</w:t>
      </w:r>
      <w:r w:rsidR="00DD24C7" w:rsidRPr="00DD5EE6">
        <w:rPr>
          <w:rFonts w:cs="Arial"/>
        </w:rPr>
        <w:t xml:space="preserve"> and </w:t>
      </w:r>
      <w:r w:rsidRPr="00DD5EE6">
        <w:rPr>
          <w:rFonts w:cs="Arial"/>
        </w:rPr>
        <w:t xml:space="preserve">individually metered apartments for all domestic purposes, including space heating, when all services are supplied through a single meter and whose entire requirements are provided by the electric utility.  Not applicable to resale, stand-by or </w:t>
      </w:r>
      <w:r w:rsidR="006C727F" w:rsidRPr="00DD5EE6">
        <w:rPr>
          <w:rFonts w:cs="Arial"/>
        </w:rPr>
        <w:t>auxiliary</w:t>
      </w:r>
      <w:r w:rsidRPr="00DD5EE6">
        <w:rPr>
          <w:rFonts w:cs="Arial"/>
        </w:rPr>
        <w:t xml:space="preserve"> service.</w:t>
      </w:r>
    </w:p>
    <w:p w14:paraId="1CA31248" w14:textId="77777777" w:rsidR="00985F46" w:rsidRPr="00DD5EE6" w:rsidRDefault="00985F46" w:rsidP="00071BC3">
      <w:pPr>
        <w:ind w:left="720" w:hanging="720"/>
        <w:jc w:val="both"/>
        <w:rPr>
          <w:rFonts w:cs="Arial"/>
        </w:rPr>
      </w:pPr>
    </w:p>
    <w:p w14:paraId="370104A3" w14:textId="63DF4AFD" w:rsidR="00985F46" w:rsidRPr="00DD5EE6" w:rsidRDefault="00985F46" w:rsidP="00071BC3">
      <w:pPr>
        <w:ind w:left="720" w:hanging="720"/>
        <w:jc w:val="both"/>
        <w:rPr>
          <w:rFonts w:cs="Arial"/>
        </w:rPr>
      </w:pPr>
      <w:r w:rsidRPr="00DD5EE6">
        <w:rPr>
          <w:rFonts w:cs="Arial"/>
        </w:rPr>
        <w:tab/>
      </w:r>
      <w:r w:rsidRPr="00DD5EE6">
        <w:rPr>
          <w:rFonts w:cs="Arial"/>
          <w:b/>
        </w:rPr>
        <w:t>Character of Service</w:t>
      </w:r>
      <w:r w:rsidRPr="00DD5EE6">
        <w:rPr>
          <w:rFonts w:cs="Arial"/>
        </w:rPr>
        <w:t xml:space="preserve">:  AC, 60 Hertz, single-phase, at any of the </w:t>
      </w:r>
      <w:r w:rsidR="00AC5E11" w:rsidRPr="00DD5EE6">
        <w:rPr>
          <w:rFonts w:cs="Arial"/>
        </w:rPr>
        <w:t>City’s</w:t>
      </w:r>
      <w:r w:rsidRPr="00DD5EE6">
        <w:rPr>
          <w:rFonts w:cs="Arial"/>
        </w:rPr>
        <w:t xml:space="preserve"> standard voltages where the service may be supplied by a single power transformation.</w:t>
      </w:r>
      <w:r w:rsidRPr="00DD5EE6">
        <w:rPr>
          <w:rFonts w:cs="Arial"/>
        </w:rPr>
        <w:tab/>
      </w:r>
    </w:p>
    <w:p w14:paraId="3D1BA8B2" w14:textId="77777777" w:rsidR="00985F46" w:rsidRPr="00DD5EE6" w:rsidRDefault="00985F46" w:rsidP="00071BC3">
      <w:pPr>
        <w:ind w:left="720" w:hanging="720"/>
        <w:jc w:val="both"/>
        <w:rPr>
          <w:rFonts w:cs="Arial"/>
        </w:rPr>
      </w:pPr>
    </w:p>
    <w:p w14:paraId="69239971" w14:textId="53E48F69" w:rsidR="00985F46" w:rsidRPr="00DD5EE6" w:rsidRDefault="00985F46" w:rsidP="00071BC3">
      <w:pPr>
        <w:ind w:left="720" w:hanging="720"/>
        <w:jc w:val="both"/>
        <w:rPr>
          <w:rFonts w:cs="Arial"/>
        </w:rPr>
      </w:pPr>
      <w:r w:rsidRPr="00DD5EE6">
        <w:rPr>
          <w:rFonts w:cs="Arial"/>
        </w:rPr>
        <w:tab/>
      </w:r>
      <w:r w:rsidRPr="00DD5EE6">
        <w:rPr>
          <w:rFonts w:cs="Arial"/>
          <w:b/>
        </w:rPr>
        <w:t>Rate</w:t>
      </w:r>
      <w:r w:rsidR="007A5795" w:rsidRPr="00DD5EE6">
        <w:rPr>
          <w:rFonts w:cs="Arial"/>
          <w:b/>
        </w:rPr>
        <w:t>s</w:t>
      </w:r>
      <w:r w:rsidRPr="00DD5EE6">
        <w:rPr>
          <w:rFonts w:cs="Arial"/>
        </w:rPr>
        <w:t>:</w:t>
      </w:r>
    </w:p>
    <w:p w14:paraId="15C269A8" w14:textId="77777777" w:rsidR="003E08B1" w:rsidRPr="00DD5EE6" w:rsidRDefault="003E08B1" w:rsidP="00985F46">
      <w:pPr>
        <w:tabs>
          <w:tab w:val="left" w:pos="360"/>
        </w:tabs>
        <w:ind w:left="360" w:hanging="360"/>
        <w:jc w:val="both"/>
        <w:rPr>
          <w:rFonts w:cs="Arial"/>
        </w:rPr>
      </w:pPr>
    </w:p>
    <w:tbl>
      <w:tblPr>
        <w:tblStyle w:val="TableGrid"/>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160"/>
        <w:gridCol w:w="2160"/>
      </w:tblGrid>
      <w:tr w:rsidR="00F658E3" w:rsidRPr="00DD5EE6" w14:paraId="350C60E3" w14:textId="201335EB" w:rsidTr="00F658E3">
        <w:trPr>
          <w:jc w:val="center"/>
        </w:trPr>
        <w:tc>
          <w:tcPr>
            <w:tcW w:w="3780" w:type="dxa"/>
          </w:tcPr>
          <w:p w14:paraId="5E5C1132" w14:textId="67DAAEA2" w:rsidR="00F658E3" w:rsidRPr="00DD5EE6" w:rsidRDefault="00F658E3" w:rsidP="00E62D40">
            <w:pPr>
              <w:tabs>
                <w:tab w:val="left" w:pos="360"/>
              </w:tabs>
              <w:jc w:val="both"/>
              <w:rPr>
                <w:rFonts w:cs="Arial"/>
                <w:b/>
              </w:rPr>
            </w:pPr>
            <w:r w:rsidRPr="00DD5EE6">
              <w:rPr>
                <w:rFonts w:cs="Arial"/>
                <w:b/>
              </w:rPr>
              <w:t>Effective for all billings after:</w:t>
            </w:r>
          </w:p>
        </w:tc>
        <w:tc>
          <w:tcPr>
            <w:tcW w:w="2160" w:type="dxa"/>
          </w:tcPr>
          <w:p w14:paraId="0D0C89BA" w14:textId="05EAB30E" w:rsidR="00F658E3" w:rsidRPr="00DD5EE6" w:rsidRDefault="00F658E3" w:rsidP="00236873">
            <w:pPr>
              <w:pStyle w:val="Heading3"/>
            </w:pPr>
            <w:r w:rsidRPr="00DD5EE6">
              <w:t>January 15, 2022</w:t>
            </w:r>
          </w:p>
        </w:tc>
        <w:tc>
          <w:tcPr>
            <w:tcW w:w="2160" w:type="dxa"/>
          </w:tcPr>
          <w:p w14:paraId="1C083451" w14:textId="75008D4E" w:rsidR="00F658E3" w:rsidRPr="00DD5EE6" w:rsidRDefault="00F658E3" w:rsidP="00236873">
            <w:pPr>
              <w:pStyle w:val="Heading3"/>
            </w:pPr>
            <w:r w:rsidRPr="00DD5EE6">
              <w:t>January 15, 2023</w:t>
            </w:r>
          </w:p>
        </w:tc>
      </w:tr>
      <w:tr w:rsidR="00C717D7" w:rsidRPr="00DD5EE6" w14:paraId="2B454BC3" w14:textId="01CBC6E5" w:rsidTr="00F658E3">
        <w:trPr>
          <w:jc w:val="center"/>
        </w:trPr>
        <w:tc>
          <w:tcPr>
            <w:tcW w:w="3780" w:type="dxa"/>
          </w:tcPr>
          <w:p w14:paraId="36EDC6C6" w14:textId="77777777" w:rsidR="00C717D7" w:rsidRPr="00DD5EE6" w:rsidRDefault="00C717D7" w:rsidP="00C717D7">
            <w:pPr>
              <w:tabs>
                <w:tab w:val="left" w:pos="360"/>
              </w:tabs>
              <w:jc w:val="both"/>
              <w:rPr>
                <w:rFonts w:cs="Arial"/>
              </w:rPr>
            </w:pPr>
            <w:r w:rsidRPr="00DD5EE6">
              <w:rPr>
                <w:rFonts w:cs="Arial"/>
              </w:rPr>
              <w:t>Customer Charge, per month</w:t>
            </w:r>
          </w:p>
        </w:tc>
        <w:tc>
          <w:tcPr>
            <w:tcW w:w="2160" w:type="dxa"/>
          </w:tcPr>
          <w:p w14:paraId="5AEF5965" w14:textId="61E6997E" w:rsidR="00C717D7" w:rsidRPr="00DD5EE6" w:rsidRDefault="00C717D7" w:rsidP="00C717D7">
            <w:pPr>
              <w:tabs>
                <w:tab w:val="decimal" w:pos="1062"/>
              </w:tabs>
              <w:jc w:val="both"/>
              <w:rPr>
                <w:rFonts w:cs="Arial"/>
              </w:rPr>
            </w:pPr>
            <w:r w:rsidRPr="00DD5EE6">
              <w:rPr>
                <w:rFonts w:cs="Arial"/>
              </w:rPr>
              <w:t>$1</w:t>
            </w:r>
            <w:r w:rsidR="00F32838" w:rsidRPr="00DD5EE6">
              <w:rPr>
                <w:rFonts w:cs="Arial"/>
              </w:rPr>
              <w:t>1.75</w:t>
            </w:r>
          </w:p>
        </w:tc>
        <w:tc>
          <w:tcPr>
            <w:tcW w:w="2160" w:type="dxa"/>
          </w:tcPr>
          <w:p w14:paraId="0199ECE7" w14:textId="02570525" w:rsidR="00C717D7" w:rsidRPr="00DD5EE6" w:rsidRDefault="00F32838" w:rsidP="00C717D7">
            <w:pPr>
              <w:tabs>
                <w:tab w:val="decimal" w:pos="1062"/>
              </w:tabs>
              <w:jc w:val="both"/>
              <w:rPr>
                <w:rFonts w:cs="Arial"/>
              </w:rPr>
            </w:pPr>
            <w:r w:rsidRPr="00DD5EE6">
              <w:rPr>
                <w:rFonts w:cs="Arial"/>
              </w:rPr>
              <w:t>$13.00</w:t>
            </w:r>
          </w:p>
        </w:tc>
      </w:tr>
      <w:tr w:rsidR="00C717D7" w:rsidRPr="00DD5EE6" w14:paraId="6B5DF3A4" w14:textId="092205C2" w:rsidTr="00F658E3">
        <w:trPr>
          <w:jc w:val="center"/>
        </w:trPr>
        <w:tc>
          <w:tcPr>
            <w:tcW w:w="3780" w:type="dxa"/>
          </w:tcPr>
          <w:p w14:paraId="1C784A0A" w14:textId="77777777" w:rsidR="00C717D7" w:rsidRPr="00DD5EE6" w:rsidRDefault="00C717D7" w:rsidP="00C717D7">
            <w:pPr>
              <w:tabs>
                <w:tab w:val="left" w:pos="360"/>
              </w:tabs>
              <w:jc w:val="both"/>
              <w:rPr>
                <w:rFonts w:cs="Arial"/>
              </w:rPr>
            </w:pPr>
            <w:r w:rsidRPr="00DD5EE6">
              <w:rPr>
                <w:rFonts w:cs="Arial"/>
              </w:rPr>
              <w:t>Energy Charge</w:t>
            </w:r>
          </w:p>
        </w:tc>
        <w:tc>
          <w:tcPr>
            <w:tcW w:w="2160" w:type="dxa"/>
          </w:tcPr>
          <w:p w14:paraId="4DBD1F13" w14:textId="77777777" w:rsidR="00C717D7" w:rsidRPr="00DD5EE6" w:rsidRDefault="00C717D7" w:rsidP="00C717D7">
            <w:pPr>
              <w:tabs>
                <w:tab w:val="decimal" w:pos="1062"/>
              </w:tabs>
              <w:jc w:val="both"/>
              <w:rPr>
                <w:rFonts w:cs="Arial"/>
              </w:rPr>
            </w:pPr>
          </w:p>
        </w:tc>
        <w:tc>
          <w:tcPr>
            <w:tcW w:w="2160" w:type="dxa"/>
          </w:tcPr>
          <w:p w14:paraId="7943918C" w14:textId="77777777" w:rsidR="00C717D7" w:rsidRPr="00DD5EE6" w:rsidRDefault="00C717D7" w:rsidP="00C717D7">
            <w:pPr>
              <w:tabs>
                <w:tab w:val="decimal" w:pos="1062"/>
              </w:tabs>
              <w:jc w:val="both"/>
              <w:rPr>
                <w:rFonts w:cs="Arial"/>
              </w:rPr>
            </w:pPr>
          </w:p>
        </w:tc>
      </w:tr>
      <w:tr w:rsidR="00C717D7" w:rsidRPr="00DD5EE6" w14:paraId="6E46725F" w14:textId="3033B023" w:rsidTr="00F658E3">
        <w:trPr>
          <w:jc w:val="center"/>
        </w:trPr>
        <w:tc>
          <w:tcPr>
            <w:tcW w:w="3780" w:type="dxa"/>
          </w:tcPr>
          <w:p w14:paraId="0E58CF52" w14:textId="73BD6944" w:rsidR="00C717D7" w:rsidRPr="00DD5EE6" w:rsidRDefault="00C717D7" w:rsidP="00C717D7">
            <w:pPr>
              <w:tabs>
                <w:tab w:val="left" w:pos="360"/>
              </w:tabs>
              <w:jc w:val="both"/>
              <w:rPr>
                <w:rFonts w:cs="Arial"/>
              </w:rPr>
            </w:pPr>
            <w:r w:rsidRPr="00DD5EE6">
              <w:rPr>
                <w:rFonts w:cs="Arial"/>
              </w:rPr>
              <w:tab/>
              <w:t>Summer</w:t>
            </w:r>
          </w:p>
        </w:tc>
        <w:tc>
          <w:tcPr>
            <w:tcW w:w="2160" w:type="dxa"/>
          </w:tcPr>
          <w:p w14:paraId="00163045" w14:textId="447C5C80" w:rsidR="00C717D7" w:rsidRPr="00DD5EE6" w:rsidRDefault="00C717D7" w:rsidP="00C717D7">
            <w:pPr>
              <w:tabs>
                <w:tab w:val="decimal" w:pos="1062"/>
              </w:tabs>
              <w:jc w:val="both"/>
              <w:rPr>
                <w:rFonts w:cs="Arial"/>
              </w:rPr>
            </w:pPr>
          </w:p>
        </w:tc>
        <w:tc>
          <w:tcPr>
            <w:tcW w:w="2160" w:type="dxa"/>
          </w:tcPr>
          <w:p w14:paraId="49F8F991" w14:textId="77777777" w:rsidR="00C717D7" w:rsidRPr="00DD5EE6" w:rsidRDefault="00C717D7" w:rsidP="00C717D7">
            <w:pPr>
              <w:tabs>
                <w:tab w:val="decimal" w:pos="1062"/>
              </w:tabs>
              <w:jc w:val="both"/>
              <w:rPr>
                <w:rFonts w:cs="Arial"/>
              </w:rPr>
            </w:pPr>
          </w:p>
        </w:tc>
      </w:tr>
      <w:tr w:rsidR="00C717D7" w:rsidRPr="00DD5EE6" w14:paraId="2C6B1A8C" w14:textId="6F8B1B1F" w:rsidTr="00F658E3">
        <w:trPr>
          <w:jc w:val="center"/>
        </w:trPr>
        <w:tc>
          <w:tcPr>
            <w:tcW w:w="3780" w:type="dxa"/>
          </w:tcPr>
          <w:p w14:paraId="1F9EA645" w14:textId="75FBD938" w:rsidR="00C717D7" w:rsidRPr="00DD5EE6" w:rsidRDefault="00C717D7" w:rsidP="00C717D7">
            <w:pPr>
              <w:tabs>
                <w:tab w:val="left" w:pos="360"/>
                <w:tab w:val="left" w:pos="702"/>
              </w:tabs>
              <w:rPr>
                <w:rFonts w:cs="Arial"/>
              </w:rPr>
            </w:pPr>
            <w:r w:rsidRPr="00DD5EE6">
              <w:rPr>
                <w:rFonts w:cs="Arial"/>
              </w:rPr>
              <w:tab/>
            </w:r>
            <w:r w:rsidRPr="00DD5EE6">
              <w:rPr>
                <w:rFonts w:cs="Arial"/>
              </w:rPr>
              <w:tab/>
              <w:t>First 750 kWh, per kWh</w:t>
            </w:r>
          </w:p>
        </w:tc>
        <w:tc>
          <w:tcPr>
            <w:tcW w:w="2160" w:type="dxa"/>
          </w:tcPr>
          <w:p w14:paraId="245D5AA4" w14:textId="75D08B64" w:rsidR="00C717D7" w:rsidRPr="00DD5EE6" w:rsidRDefault="00C717D7" w:rsidP="00C717D7">
            <w:pPr>
              <w:tabs>
                <w:tab w:val="decimal" w:pos="1062"/>
              </w:tabs>
              <w:jc w:val="both"/>
              <w:rPr>
                <w:rFonts w:cs="Arial"/>
              </w:rPr>
            </w:pPr>
            <w:r w:rsidRPr="00DD5EE6">
              <w:rPr>
                <w:rFonts w:cs="Arial"/>
              </w:rPr>
              <w:t>0.1110</w:t>
            </w:r>
          </w:p>
        </w:tc>
        <w:tc>
          <w:tcPr>
            <w:tcW w:w="2160" w:type="dxa"/>
          </w:tcPr>
          <w:p w14:paraId="469C603C" w14:textId="1B940A0E" w:rsidR="00C717D7" w:rsidRPr="00DD5EE6" w:rsidRDefault="00C717D7" w:rsidP="00C717D7">
            <w:pPr>
              <w:tabs>
                <w:tab w:val="decimal" w:pos="1062"/>
              </w:tabs>
              <w:jc w:val="both"/>
              <w:rPr>
                <w:rFonts w:cs="Arial"/>
              </w:rPr>
            </w:pPr>
            <w:r w:rsidRPr="00DD5EE6">
              <w:rPr>
                <w:rFonts w:cs="Arial"/>
              </w:rPr>
              <w:t>0.1110</w:t>
            </w:r>
          </w:p>
        </w:tc>
      </w:tr>
      <w:tr w:rsidR="00C717D7" w:rsidRPr="00DD5EE6" w14:paraId="77A11382" w14:textId="7824ADE4" w:rsidTr="00F658E3">
        <w:trPr>
          <w:jc w:val="center"/>
        </w:trPr>
        <w:tc>
          <w:tcPr>
            <w:tcW w:w="3780" w:type="dxa"/>
          </w:tcPr>
          <w:p w14:paraId="23E645F3" w14:textId="77777777" w:rsidR="00C717D7" w:rsidRPr="00DD5EE6" w:rsidRDefault="00C717D7" w:rsidP="00C717D7">
            <w:pPr>
              <w:tabs>
                <w:tab w:val="left" w:pos="360"/>
              </w:tabs>
              <w:jc w:val="both"/>
              <w:rPr>
                <w:rFonts w:cs="Arial"/>
              </w:rPr>
            </w:pPr>
            <w:r w:rsidRPr="00DD5EE6">
              <w:rPr>
                <w:rFonts w:cs="Arial"/>
              </w:rPr>
              <w:tab/>
            </w:r>
            <w:r w:rsidRPr="00DD5EE6">
              <w:rPr>
                <w:rFonts w:cs="Arial"/>
              </w:rPr>
              <w:tab/>
              <w:t>Excess, per kWh</w:t>
            </w:r>
          </w:p>
        </w:tc>
        <w:tc>
          <w:tcPr>
            <w:tcW w:w="2160" w:type="dxa"/>
          </w:tcPr>
          <w:p w14:paraId="541653FE" w14:textId="3C13E8F1" w:rsidR="00C717D7" w:rsidRPr="00DD5EE6" w:rsidRDefault="00C717D7" w:rsidP="00C717D7">
            <w:pPr>
              <w:tabs>
                <w:tab w:val="decimal" w:pos="1062"/>
              </w:tabs>
              <w:jc w:val="both"/>
              <w:rPr>
                <w:rFonts w:cs="Arial"/>
              </w:rPr>
            </w:pPr>
            <w:r w:rsidRPr="00DD5EE6">
              <w:rPr>
                <w:rFonts w:cs="Arial"/>
              </w:rPr>
              <w:t>0.1050</w:t>
            </w:r>
          </w:p>
        </w:tc>
        <w:tc>
          <w:tcPr>
            <w:tcW w:w="2160" w:type="dxa"/>
          </w:tcPr>
          <w:p w14:paraId="32300AB3" w14:textId="19526CB1" w:rsidR="00C717D7" w:rsidRPr="00DD5EE6" w:rsidRDefault="00C717D7" w:rsidP="00C717D7">
            <w:pPr>
              <w:tabs>
                <w:tab w:val="decimal" w:pos="1062"/>
              </w:tabs>
              <w:jc w:val="both"/>
              <w:rPr>
                <w:rFonts w:cs="Arial"/>
              </w:rPr>
            </w:pPr>
            <w:r w:rsidRPr="00DD5EE6">
              <w:rPr>
                <w:rFonts w:cs="Arial"/>
              </w:rPr>
              <w:t>0.1050</w:t>
            </w:r>
          </w:p>
        </w:tc>
      </w:tr>
      <w:tr w:rsidR="00C717D7" w:rsidRPr="00DD5EE6" w14:paraId="6227FF78" w14:textId="78174D11" w:rsidTr="00F658E3">
        <w:trPr>
          <w:jc w:val="center"/>
        </w:trPr>
        <w:tc>
          <w:tcPr>
            <w:tcW w:w="3780" w:type="dxa"/>
          </w:tcPr>
          <w:p w14:paraId="79765311" w14:textId="7DF0DEDD" w:rsidR="00C717D7" w:rsidRPr="00DD5EE6" w:rsidRDefault="00C717D7" w:rsidP="00C717D7">
            <w:pPr>
              <w:tabs>
                <w:tab w:val="left" w:pos="360"/>
              </w:tabs>
              <w:jc w:val="both"/>
              <w:rPr>
                <w:rFonts w:cs="Arial"/>
              </w:rPr>
            </w:pPr>
            <w:r w:rsidRPr="00DD5EE6">
              <w:rPr>
                <w:rFonts w:cs="Arial"/>
              </w:rPr>
              <w:tab/>
              <w:t>Winter</w:t>
            </w:r>
          </w:p>
        </w:tc>
        <w:tc>
          <w:tcPr>
            <w:tcW w:w="2160" w:type="dxa"/>
          </w:tcPr>
          <w:p w14:paraId="4B5DA24B" w14:textId="1CA2BAAD" w:rsidR="00C717D7" w:rsidRPr="00DD5EE6" w:rsidRDefault="00C717D7" w:rsidP="00C717D7">
            <w:pPr>
              <w:tabs>
                <w:tab w:val="decimal" w:pos="1062"/>
              </w:tabs>
              <w:jc w:val="both"/>
              <w:rPr>
                <w:rFonts w:cs="Arial"/>
              </w:rPr>
            </w:pPr>
          </w:p>
        </w:tc>
        <w:tc>
          <w:tcPr>
            <w:tcW w:w="2160" w:type="dxa"/>
          </w:tcPr>
          <w:p w14:paraId="30F46F6D" w14:textId="77777777" w:rsidR="00C717D7" w:rsidRPr="00DD5EE6" w:rsidRDefault="00C717D7" w:rsidP="00C717D7">
            <w:pPr>
              <w:tabs>
                <w:tab w:val="decimal" w:pos="1062"/>
              </w:tabs>
              <w:jc w:val="both"/>
              <w:rPr>
                <w:rFonts w:cs="Arial"/>
              </w:rPr>
            </w:pPr>
          </w:p>
        </w:tc>
      </w:tr>
      <w:tr w:rsidR="00C717D7" w:rsidRPr="00DD5EE6" w14:paraId="2BAC47F6" w14:textId="2C6371F4" w:rsidTr="00F658E3">
        <w:trPr>
          <w:jc w:val="center"/>
        </w:trPr>
        <w:tc>
          <w:tcPr>
            <w:tcW w:w="3780" w:type="dxa"/>
          </w:tcPr>
          <w:p w14:paraId="338091D6" w14:textId="18EBEC58" w:rsidR="00C717D7" w:rsidRPr="00DD5EE6" w:rsidRDefault="00C717D7" w:rsidP="00C717D7">
            <w:pPr>
              <w:tabs>
                <w:tab w:val="left" w:pos="360"/>
              </w:tabs>
              <w:jc w:val="both"/>
              <w:rPr>
                <w:rFonts w:cs="Arial"/>
              </w:rPr>
            </w:pPr>
            <w:r w:rsidRPr="00DD5EE6">
              <w:rPr>
                <w:rFonts w:cs="Arial"/>
              </w:rPr>
              <w:tab/>
            </w:r>
            <w:r w:rsidRPr="00DD5EE6">
              <w:rPr>
                <w:rFonts w:cs="Arial"/>
              </w:rPr>
              <w:tab/>
              <w:t>First 750 kWh, per kWh</w:t>
            </w:r>
          </w:p>
        </w:tc>
        <w:tc>
          <w:tcPr>
            <w:tcW w:w="2160" w:type="dxa"/>
          </w:tcPr>
          <w:p w14:paraId="66678027" w14:textId="2DD6AF7B" w:rsidR="00C717D7" w:rsidRPr="00DD5EE6" w:rsidRDefault="00C717D7" w:rsidP="00C717D7">
            <w:pPr>
              <w:tabs>
                <w:tab w:val="decimal" w:pos="1062"/>
              </w:tabs>
              <w:jc w:val="both"/>
              <w:rPr>
                <w:rFonts w:cs="Arial"/>
              </w:rPr>
            </w:pPr>
            <w:r w:rsidRPr="00DD5EE6">
              <w:rPr>
                <w:rFonts w:cs="Arial"/>
              </w:rPr>
              <w:t>0.1110</w:t>
            </w:r>
          </w:p>
        </w:tc>
        <w:tc>
          <w:tcPr>
            <w:tcW w:w="2160" w:type="dxa"/>
          </w:tcPr>
          <w:p w14:paraId="7E1770CF" w14:textId="0A207F39" w:rsidR="00C717D7" w:rsidRPr="00DD5EE6" w:rsidRDefault="00C717D7" w:rsidP="00C717D7">
            <w:pPr>
              <w:tabs>
                <w:tab w:val="decimal" w:pos="1062"/>
              </w:tabs>
              <w:jc w:val="both"/>
              <w:rPr>
                <w:rFonts w:cs="Arial"/>
              </w:rPr>
            </w:pPr>
            <w:r w:rsidRPr="00DD5EE6">
              <w:rPr>
                <w:rFonts w:cs="Arial"/>
              </w:rPr>
              <w:t>0.1110</w:t>
            </w:r>
          </w:p>
        </w:tc>
      </w:tr>
      <w:tr w:rsidR="00C717D7" w:rsidRPr="00DD5EE6" w14:paraId="4D99910D" w14:textId="644FA6DD" w:rsidTr="00F658E3">
        <w:trPr>
          <w:jc w:val="center"/>
        </w:trPr>
        <w:tc>
          <w:tcPr>
            <w:tcW w:w="3780" w:type="dxa"/>
          </w:tcPr>
          <w:p w14:paraId="0B518282" w14:textId="25F96BFC" w:rsidR="00C717D7" w:rsidRPr="00DD5EE6" w:rsidRDefault="00C717D7" w:rsidP="00C717D7">
            <w:pPr>
              <w:tabs>
                <w:tab w:val="left" w:pos="360"/>
              </w:tabs>
              <w:jc w:val="both"/>
              <w:rPr>
                <w:rFonts w:cs="Arial"/>
              </w:rPr>
            </w:pPr>
            <w:r w:rsidRPr="00DD5EE6">
              <w:rPr>
                <w:rFonts w:cs="Arial"/>
              </w:rPr>
              <w:tab/>
            </w:r>
            <w:r w:rsidRPr="00DD5EE6">
              <w:rPr>
                <w:rFonts w:cs="Arial"/>
              </w:rPr>
              <w:tab/>
              <w:t>Excess, per kWh</w:t>
            </w:r>
          </w:p>
        </w:tc>
        <w:tc>
          <w:tcPr>
            <w:tcW w:w="2160" w:type="dxa"/>
          </w:tcPr>
          <w:p w14:paraId="51087C68" w14:textId="6CB07437" w:rsidR="00C717D7" w:rsidRPr="00DD5EE6" w:rsidRDefault="00C717D7" w:rsidP="00C717D7">
            <w:pPr>
              <w:tabs>
                <w:tab w:val="decimal" w:pos="1062"/>
              </w:tabs>
              <w:jc w:val="both"/>
              <w:rPr>
                <w:rFonts w:cs="Arial"/>
              </w:rPr>
            </w:pPr>
            <w:r w:rsidRPr="00DD5EE6">
              <w:rPr>
                <w:rFonts w:cs="Arial"/>
              </w:rPr>
              <w:t>0.0695</w:t>
            </w:r>
          </w:p>
        </w:tc>
        <w:tc>
          <w:tcPr>
            <w:tcW w:w="2160" w:type="dxa"/>
          </w:tcPr>
          <w:p w14:paraId="5EC15B41" w14:textId="1BBD54AC" w:rsidR="00C717D7" w:rsidRPr="00DD5EE6" w:rsidRDefault="00C717D7" w:rsidP="00C717D7">
            <w:pPr>
              <w:tabs>
                <w:tab w:val="decimal" w:pos="1062"/>
              </w:tabs>
              <w:jc w:val="both"/>
              <w:rPr>
                <w:rFonts w:cs="Arial"/>
              </w:rPr>
            </w:pPr>
            <w:r w:rsidRPr="00DD5EE6">
              <w:rPr>
                <w:rFonts w:cs="Arial"/>
              </w:rPr>
              <w:t>0.0695</w:t>
            </w:r>
          </w:p>
        </w:tc>
      </w:tr>
    </w:tbl>
    <w:p w14:paraId="175E6F73" w14:textId="77777777" w:rsidR="00985F46" w:rsidRPr="00F41491" w:rsidRDefault="00985F46" w:rsidP="00985F46">
      <w:pPr>
        <w:tabs>
          <w:tab w:val="left" w:pos="360"/>
        </w:tabs>
        <w:ind w:left="360" w:hanging="360"/>
        <w:jc w:val="both"/>
        <w:rPr>
          <w:rFonts w:cs="Arial"/>
          <w:sz w:val="22"/>
          <w:szCs w:val="22"/>
        </w:rPr>
      </w:pPr>
    </w:p>
    <w:p w14:paraId="1CE64C72" w14:textId="77777777" w:rsidR="00985F46" w:rsidRPr="00DD5EE6" w:rsidRDefault="00985F46" w:rsidP="00071BC3">
      <w:pPr>
        <w:ind w:left="720" w:hanging="720"/>
        <w:jc w:val="both"/>
        <w:rPr>
          <w:rFonts w:cs="Arial"/>
        </w:rPr>
      </w:pPr>
      <w:r w:rsidRPr="00F41491">
        <w:rPr>
          <w:rFonts w:cs="Arial"/>
          <w:sz w:val="22"/>
          <w:szCs w:val="22"/>
        </w:rPr>
        <w:tab/>
      </w:r>
      <w:r w:rsidR="008C48B7" w:rsidRPr="00DD5EE6">
        <w:rPr>
          <w:rFonts w:cs="Arial"/>
          <w:b/>
        </w:rPr>
        <w:t>Minimum Bill</w:t>
      </w:r>
      <w:r w:rsidR="008C48B7" w:rsidRPr="00DD5EE6">
        <w:rPr>
          <w:rFonts w:cs="Arial"/>
        </w:rPr>
        <w:t>:  The sum of the Customer Charge and Energy Charge.</w:t>
      </w:r>
    </w:p>
    <w:p w14:paraId="4A0F77B2" w14:textId="58FE920C" w:rsidR="003E08B1" w:rsidRDefault="003E08B1" w:rsidP="003E08B1">
      <w:pPr>
        <w:tabs>
          <w:tab w:val="left" w:pos="360"/>
        </w:tabs>
        <w:jc w:val="both"/>
        <w:rPr>
          <w:rFonts w:cs="Arial"/>
        </w:rPr>
      </w:pPr>
    </w:p>
    <w:p w14:paraId="328CEA72" w14:textId="0F760633" w:rsidR="003876D1" w:rsidRPr="00DD5EE6" w:rsidRDefault="00AC5E11" w:rsidP="00071BC3">
      <w:pPr>
        <w:pStyle w:val="ListParagraph"/>
        <w:numPr>
          <w:ilvl w:val="0"/>
          <w:numId w:val="2"/>
        </w:numPr>
        <w:tabs>
          <w:tab w:val="left" w:pos="720"/>
        </w:tabs>
        <w:ind w:left="720" w:hanging="720"/>
        <w:jc w:val="both"/>
        <w:rPr>
          <w:rFonts w:cs="Arial"/>
        </w:rPr>
      </w:pPr>
      <w:r w:rsidRPr="00DD5EE6">
        <w:rPr>
          <w:rFonts w:cs="Arial"/>
          <w:b/>
        </w:rPr>
        <w:lastRenderedPageBreak/>
        <w:t>Rural Residential</w:t>
      </w:r>
    </w:p>
    <w:p w14:paraId="630AF6F2" w14:textId="77777777" w:rsidR="00B57B6E" w:rsidRPr="00DD5EE6" w:rsidRDefault="00B57B6E" w:rsidP="00071BC3">
      <w:pPr>
        <w:pStyle w:val="ListParagraph"/>
        <w:tabs>
          <w:tab w:val="left" w:pos="720"/>
        </w:tabs>
        <w:ind w:hanging="720"/>
        <w:jc w:val="both"/>
        <w:rPr>
          <w:rFonts w:cs="Arial"/>
        </w:rPr>
      </w:pPr>
    </w:p>
    <w:p w14:paraId="588C604E" w14:textId="3E6EF0E0" w:rsidR="00AC5E11" w:rsidRPr="00DD5EE6" w:rsidRDefault="003876D1" w:rsidP="00AC5E11">
      <w:pPr>
        <w:ind w:left="720" w:hanging="720"/>
        <w:jc w:val="both"/>
        <w:rPr>
          <w:rFonts w:cs="Arial"/>
        </w:rPr>
      </w:pPr>
      <w:r w:rsidRPr="00DD5EE6">
        <w:rPr>
          <w:rFonts w:cs="Arial"/>
        </w:rPr>
        <w:tab/>
      </w:r>
      <w:r w:rsidR="00AC5E11" w:rsidRPr="00DD5EE6">
        <w:rPr>
          <w:rFonts w:cs="Arial"/>
          <w:b/>
        </w:rPr>
        <w:t>Availability</w:t>
      </w:r>
      <w:r w:rsidR="00AC5E11" w:rsidRPr="00DD5EE6">
        <w:rPr>
          <w:rFonts w:cs="Arial"/>
        </w:rPr>
        <w:t>:  Available to single family residences and individually metered apartments located outside the City’s corporate limits for all domestic purposes, including space heating, when all services are supplied through a single meter and whose entire requirements are provided by the electric utility.  Not applicable to resale, stand-by or auxiliary service.</w:t>
      </w:r>
    </w:p>
    <w:p w14:paraId="1C578886" w14:textId="77777777" w:rsidR="00AC5E11" w:rsidRPr="00DD5EE6" w:rsidRDefault="00AC5E11" w:rsidP="00AC5E11">
      <w:pPr>
        <w:ind w:left="720" w:hanging="720"/>
        <w:jc w:val="both"/>
        <w:rPr>
          <w:rFonts w:cs="Arial"/>
        </w:rPr>
      </w:pPr>
    </w:p>
    <w:p w14:paraId="05A7589A" w14:textId="5D875F2C" w:rsidR="00AC5E11" w:rsidRDefault="00AC5E11" w:rsidP="00AC5E11">
      <w:pPr>
        <w:tabs>
          <w:tab w:val="left" w:pos="720"/>
        </w:tabs>
        <w:ind w:left="720" w:hanging="720"/>
        <w:jc w:val="both"/>
        <w:rPr>
          <w:rFonts w:cs="Arial"/>
        </w:rPr>
      </w:pPr>
      <w:r w:rsidRPr="00DD5EE6">
        <w:rPr>
          <w:rFonts w:cs="Arial"/>
        </w:rPr>
        <w:tab/>
      </w:r>
      <w:r w:rsidRPr="00DD5EE6">
        <w:rPr>
          <w:rFonts w:cs="Arial"/>
          <w:b/>
        </w:rPr>
        <w:t>Character of Service</w:t>
      </w:r>
      <w:r w:rsidRPr="00DD5EE6">
        <w:rPr>
          <w:rFonts w:cs="Arial"/>
        </w:rPr>
        <w:t>:  AC, 60 Hertz, single-phase, at any of the City’s standard voltages where the service may be supplied by a single power transformation.</w:t>
      </w:r>
    </w:p>
    <w:p w14:paraId="2D5AF5F3" w14:textId="77777777" w:rsidR="00DD5EE6" w:rsidRPr="00DD5EE6" w:rsidRDefault="00DD5EE6" w:rsidP="00AC5E11">
      <w:pPr>
        <w:tabs>
          <w:tab w:val="left" w:pos="720"/>
        </w:tabs>
        <w:ind w:left="720" w:hanging="720"/>
        <w:jc w:val="both"/>
        <w:rPr>
          <w:rFonts w:cs="Arial"/>
        </w:rPr>
      </w:pPr>
    </w:p>
    <w:p w14:paraId="1132E713" w14:textId="31F1613D" w:rsidR="003876D1" w:rsidRPr="00DD5EE6" w:rsidRDefault="003876D1" w:rsidP="00AC5E11">
      <w:pPr>
        <w:tabs>
          <w:tab w:val="left" w:pos="720"/>
        </w:tabs>
        <w:ind w:left="720" w:hanging="720"/>
        <w:jc w:val="both"/>
        <w:rPr>
          <w:rFonts w:cs="Arial"/>
        </w:rPr>
      </w:pPr>
      <w:r w:rsidRPr="00DD5EE6">
        <w:rPr>
          <w:rFonts w:cs="Arial"/>
        </w:rPr>
        <w:tab/>
      </w:r>
      <w:r w:rsidRPr="00DD5EE6">
        <w:rPr>
          <w:rFonts w:cs="Arial"/>
          <w:b/>
        </w:rPr>
        <w:t>Rate</w:t>
      </w:r>
      <w:r w:rsidR="00C717D7" w:rsidRPr="00DD5EE6">
        <w:rPr>
          <w:rFonts w:cs="Arial"/>
          <w:b/>
        </w:rPr>
        <w:t>s</w:t>
      </w:r>
      <w:r w:rsidRPr="00DD5EE6">
        <w:rPr>
          <w:rFonts w:cs="Arial"/>
        </w:rPr>
        <w:t>:</w:t>
      </w:r>
    </w:p>
    <w:p w14:paraId="142C2546" w14:textId="77777777" w:rsidR="00C717D7" w:rsidRDefault="00C717D7" w:rsidP="00AC5E11">
      <w:pPr>
        <w:tabs>
          <w:tab w:val="left" w:pos="720"/>
        </w:tabs>
        <w:ind w:left="720" w:hanging="720"/>
        <w:jc w:val="both"/>
        <w:rPr>
          <w:rFonts w:cs="Arial"/>
          <w:sz w:val="22"/>
          <w:szCs w:val="22"/>
        </w:rPr>
      </w:pPr>
    </w:p>
    <w:tbl>
      <w:tblPr>
        <w:tblStyle w:val="TableGrid"/>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160"/>
        <w:gridCol w:w="2160"/>
      </w:tblGrid>
      <w:tr w:rsidR="00C717D7" w:rsidRPr="00DD5EE6" w14:paraId="64DE9F2C" w14:textId="77777777" w:rsidTr="00396BA3">
        <w:trPr>
          <w:jc w:val="center"/>
        </w:trPr>
        <w:tc>
          <w:tcPr>
            <w:tcW w:w="3780" w:type="dxa"/>
          </w:tcPr>
          <w:p w14:paraId="08DB0840" w14:textId="77777777" w:rsidR="00C717D7" w:rsidRPr="00DD5EE6" w:rsidRDefault="00C717D7" w:rsidP="00396BA3">
            <w:pPr>
              <w:tabs>
                <w:tab w:val="left" w:pos="360"/>
              </w:tabs>
              <w:jc w:val="both"/>
              <w:rPr>
                <w:rFonts w:cs="Arial"/>
                <w:b/>
              </w:rPr>
            </w:pPr>
            <w:r w:rsidRPr="00DD5EE6">
              <w:rPr>
                <w:rFonts w:cs="Arial"/>
                <w:b/>
              </w:rPr>
              <w:t>Effective for all billings after:</w:t>
            </w:r>
          </w:p>
        </w:tc>
        <w:tc>
          <w:tcPr>
            <w:tcW w:w="2160" w:type="dxa"/>
          </w:tcPr>
          <w:p w14:paraId="55D82636" w14:textId="77777777" w:rsidR="00C717D7" w:rsidRPr="00DD5EE6" w:rsidRDefault="00C717D7" w:rsidP="00396BA3">
            <w:pPr>
              <w:pStyle w:val="Heading3"/>
            </w:pPr>
            <w:r w:rsidRPr="00DD5EE6">
              <w:t>January 15, 2022</w:t>
            </w:r>
          </w:p>
        </w:tc>
        <w:tc>
          <w:tcPr>
            <w:tcW w:w="2160" w:type="dxa"/>
          </w:tcPr>
          <w:p w14:paraId="603ED0D7" w14:textId="77777777" w:rsidR="00C717D7" w:rsidRPr="00DD5EE6" w:rsidRDefault="00C717D7" w:rsidP="00396BA3">
            <w:pPr>
              <w:pStyle w:val="Heading3"/>
            </w:pPr>
            <w:r w:rsidRPr="00DD5EE6">
              <w:t>January 15, 2023</w:t>
            </w:r>
          </w:p>
        </w:tc>
      </w:tr>
      <w:tr w:rsidR="00C717D7" w:rsidRPr="00DD5EE6" w14:paraId="7F3FC29D" w14:textId="77777777" w:rsidTr="00396BA3">
        <w:trPr>
          <w:jc w:val="center"/>
        </w:trPr>
        <w:tc>
          <w:tcPr>
            <w:tcW w:w="3780" w:type="dxa"/>
          </w:tcPr>
          <w:p w14:paraId="4B8D375F" w14:textId="77777777" w:rsidR="00C717D7" w:rsidRPr="00DD5EE6" w:rsidRDefault="00C717D7" w:rsidP="00396BA3">
            <w:pPr>
              <w:tabs>
                <w:tab w:val="left" w:pos="360"/>
              </w:tabs>
              <w:jc w:val="both"/>
              <w:rPr>
                <w:rFonts w:cs="Arial"/>
              </w:rPr>
            </w:pPr>
            <w:r w:rsidRPr="00DD5EE6">
              <w:rPr>
                <w:rFonts w:cs="Arial"/>
              </w:rPr>
              <w:t>Customer Charge, per month</w:t>
            </w:r>
          </w:p>
        </w:tc>
        <w:tc>
          <w:tcPr>
            <w:tcW w:w="2160" w:type="dxa"/>
          </w:tcPr>
          <w:p w14:paraId="03920FEE" w14:textId="6AA5294E" w:rsidR="00C717D7" w:rsidRPr="00DD5EE6" w:rsidRDefault="00C717D7" w:rsidP="00396BA3">
            <w:pPr>
              <w:tabs>
                <w:tab w:val="decimal" w:pos="1062"/>
              </w:tabs>
              <w:jc w:val="both"/>
              <w:rPr>
                <w:rFonts w:cs="Arial"/>
              </w:rPr>
            </w:pPr>
            <w:r w:rsidRPr="00DD5EE6">
              <w:rPr>
                <w:rFonts w:cs="Arial"/>
              </w:rPr>
              <w:t>$1</w:t>
            </w:r>
            <w:r w:rsidR="00F32838" w:rsidRPr="00DD5EE6">
              <w:rPr>
                <w:rFonts w:cs="Arial"/>
              </w:rPr>
              <w:t>4.50</w:t>
            </w:r>
          </w:p>
        </w:tc>
        <w:tc>
          <w:tcPr>
            <w:tcW w:w="2160" w:type="dxa"/>
          </w:tcPr>
          <w:p w14:paraId="1579DDD4" w14:textId="00B861A5" w:rsidR="00C717D7" w:rsidRPr="00DD5EE6" w:rsidRDefault="00F32838" w:rsidP="00396BA3">
            <w:pPr>
              <w:tabs>
                <w:tab w:val="decimal" w:pos="1062"/>
              </w:tabs>
              <w:jc w:val="both"/>
              <w:rPr>
                <w:rFonts w:cs="Arial"/>
              </w:rPr>
            </w:pPr>
            <w:r w:rsidRPr="00DD5EE6">
              <w:rPr>
                <w:rFonts w:cs="Arial"/>
              </w:rPr>
              <w:t>$16.00</w:t>
            </w:r>
          </w:p>
        </w:tc>
      </w:tr>
      <w:tr w:rsidR="00C717D7" w:rsidRPr="00DD5EE6" w14:paraId="3AAE00FE" w14:textId="77777777" w:rsidTr="00396BA3">
        <w:trPr>
          <w:jc w:val="center"/>
        </w:trPr>
        <w:tc>
          <w:tcPr>
            <w:tcW w:w="3780" w:type="dxa"/>
          </w:tcPr>
          <w:p w14:paraId="4C19EE81" w14:textId="77777777" w:rsidR="00C717D7" w:rsidRPr="00DD5EE6" w:rsidRDefault="00C717D7" w:rsidP="00396BA3">
            <w:pPr>
              <w:tabs>
                <w:tab w:val="left" w:pos="360"/>
              </w:tabs>
              <w:jc w:val="both"/>
              <w:rPr>
                <w:rFonts w:cs="Arial"/>
              </w:rPr>
            </w:pPr>
            <w:r w:rsidRPr="00DD5EE6">
              <w:rPr>
                <w:rFonts w:cs="Arial"/>
              </w:rPr>
              <w:t>Energy Charge</w:t>
            </w:r>
          </w:p>
        </w:tc>
        <w:tc>
          <w:tcPr>
            <w:tcW w:w="2160" w:type="dxa"/>
          </w:tcPr>
          <w:p w14:paraId="19DFB33E" w14:textId="77777777" w:rsidR="00C717D7" w:rsidRPr="00DD5EE6" w:rsidRDefault="00C717D7" w:rsidP="00396BA3">
            <w:pPr>
              <w:tabs>
                <w:tab w:val="decimal" w:pos="1062"/>
              </w:tabs>
              <w:jc w:val="both"/>
              <w:rPr>
                <w:rFonts w:cs="Arial"/>
              </w:rPr>
            </w:pPr>
          </w:p>
        </w:tc>
        <w:tc>
          <w:tcPr>
            <w:tcW w:w="2160" w:type="dxa"/>
          </w:tcPr>
          <w:p w14:paraId="35EC05F9" w14:textId="77777777" w:rsidR="00C717D7" w:rsidRPr="00DD5EE6" w:rsidRDefault="00C717D7" w:rsidP="00396BA3">
            <w:pPr>
              <w:tabs>
                <w:tab w:val="decimal" w:pos="1062"/>
              </w:tabs>
              <w:jc w:val="both"/>
              <w:rPr>
                <w:rFonts w:cs="Arial"/>
              </w:rPr>
            </w:pPr>
          </w:p>
        </w:tc>
      </w:tr>
      <w:tr w:rsidR="00C717D7" w:rsidRPr="00DD5EE6" w14:paraId="2FB9FBCA" w14:textId="77777777" w:rsidTr="00396BA3">
        <w:trPr>
          <w:jc w:val="center"/>
        </w:trPr>
        <w:tc>
          <w:tcPr>
            <w:tcW w:w="3780" w:type="dxa"/>
          </w:tcPr>
          <w:p w14:paraId="4068DA74" w14:textId="77777777" w:rsidR="00C717D7" w:rsidRPr="00DD5EE6" w:rsidRDefault="00C717D7" w:rsidP="00396BA3">
            <w:pPr>
              <w:tabs>
                <w:tab w:val="left" w:pos="360"/>
              </w:tabs>
              <w:jc w:val="both"/>
              <w:rPr>
                <w:rFonts w:cs="Arial"/>
              </w:rPr>
            </w:pPr>
            <w:r w:rsidRPr="00DD5EE6">
              <w:rPr>
                <w:rFonts w:cs="Arial"/>
              </w:rPr>
              <w:tab/>
              <w:t>Summer</w:t>
            </w:r>
          </w:p>
        </w:tc>
        <w:tc>
          <w:tcPr>
            <w:tcW w:w="2160" w:type="dxa"/>
          </w:tcPr>
          <w:p w14:paraId="1191673D" w14:textId="77777777" w:rsidR="00C717D7" w:rsidRPr="00DD5EE6" w:rsidRDefault="00C717D7" w:rsidP="00396BA3">
            <w:pPr>
              <w:tabs>
                <w:tab w:val="decimal" w:pos="1062"/>
              </w:tabs>
              <w:jc w:val="both"/>
              <w:rPr>
                <w:rFonts w:cs="Arial"/>
              </w:rPr>
            </w:pPr>
          </w:p>
        </w:tc>
        <w:tc>
          <w:tcPr>
            <w:tcW w:w="2160" w:type="dxa"/>
          </w:tcPr>
          <w:p w14:paraId="1232537F" w14:textId="77777777" w:rsidR="00C717D7" w:rsidRPr="00DD5EE6" w:rsidRDefault="00C717D7" w:rsidP="00396BA3">
            <w:pPr>
              <w:tabs>
                <w:tab w:val="decimal" w:pos="1062"/>
              </w:tabs>
              <w:jc w:val="both"/>
              <w:rPr>
                <w:rFonts w:cs="Arial"/>
              </w:rPr>
            </w:pPr>
          </w:p>
        </w:tc>
      </w:tr>
      <w:tr w:rsidR="00C717D7" w:rsidRPr="00DD5EE6" w14:paraId="6E7E27DB" w14:textId="77777777" w:rsidTr="00396BA3">
        <w:trPr>
          <w:jc w:val="center"/>
        </w:trPr>
        <w:tc>
          <w:tcPr>
            <w:tcW w:w="3780" w:type="dxa"/>
          </w:tcPr>
          <w:p w14:paraId="0CFD4742" w14:textId="77777777" w:rsidR="00C717D7" w:rsidRPr="00DD5EE6" w:rsidRDefault="00C717D7" w:rsidP="00396BA3">
            <w:pPr>
              <w:tabs>
                <w:tab w:val="left" w:pos="360"/>
                <w:tab w:val="left" w:pos="702"/>
              </w:tabs>
              <w:rPr>
                <w:rFonts w:cs="Arial"/>
              </w:rPr>
            </w:pPr>
            <w:r w:rsidRPr="00DD5EE6">
              <w:rPr>
                <w:rFonts w:cs="Arial"/>
              </w:rPr>
              <w:tab/>
            </w:r>
            <w:r w:rsidRPr="00DD5EE6">
              <w:rPr>
                <w:rFonts w:cs="Arial"/>
              </w:rPr>
              <w:tab/>
              <w:t>First 750 kWh, per kWh</w:t>
            </w:r>
          </w:p>
        </w:tc>
        <w:tc>
          <w:tcPr>
            <w:tcW w:w="2160" w:type="dxa"/>
          </w:tcPr>
          <w:p w14:paraId="6BA35E67"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756994CB"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003EF734" w14:textId="77777777" w:rsidTr="00396BA3">
        <w:trPr>
          <w:jc w:val="center"/>
        </w:trPr>
        <w:tc>
          <w:tcPr>
            <w:tcW w:w="3780" w:type="dxa"/>
          </w:tcPr>
          <w:p w14:paraId="78CBDCFD"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3FE9CD6C" w14:textId="77777777" w:rsidR="00C717D7" w:rsidRPr="00DD5EE6" w:rsidRDefault="00C717D7" w:rsidP="00396BA3">
            <w:pPr>
              <w:tabs>
                <w:tab w:val="decimal" w:pos="1062"/>
              </w:tabs>
              <w:jc w:val="both"/>
              <w:rPr>
                <w:rFonts w:cs="Arial"/>
              </w:rPr>
            </w:pPr>
            <w:r w:rsidRPr="00DD5EE6">
              <w:rPr>
                <w:rFonts w:cs="Arial"/>
              </w:rPr>
              <w:t>0.1050</w:t>
            </w:r>
          </w:p>
        </w:tc>
        <w:tc>
          <w:tcPr>
            <w:tcW w:w="2160" w:type="dxa"/>
          </w:tcPr>
          <w:p w14:paraId="077A774A" w14:textId="77777777" w:rsidR="00C717D7" w:rsidRPr="00DD5EE6" w:rsidRDefault="00C717D7" w:rsidP="00396BA3">
            <w:pPr>
              <w:tabs>
                <w:tab w:val="decimal" w:pos="1062"/>
              </w:tabs>
              <w:jc w:val="both"/>
              <w:rPr>
                <w:rFonts w:cs="Arial"/>
              </w:rPr>
            </w:pPr>
            <w:r w:rsidRPr="00DD5EE6">
              <w:rPr>
                <w:rFonts w:cs="Arial"/>
              </w:rPr>
              <w:t>0.1050</w:t>
            </w:r>
          </w:p>
        </w:tc>
      </w:tr>
      <w:tr w:rsidR="00C717D7" w:rsidRPr="00DD5EE6" w14:paraId="45D83D4D" w14:textId="77777777" w:rsidTr="00396BA3">
        <w:trPr>
          <w:jc w:val="center"/>
        </w:trPr>
        <w:tc>
          <w:tcPr>
            <w:tcW w:w="3780" w:type="dxa"/>
          </w:tcPr>
          <w:p w14:paraId="0A9E248A" w14:textId="77777777" w:rsidR="00C717D7" w:rsidRPr="00DD5EE6" w:rsidRDefault="00C717D7" w:rsidP="00396BA3">
            <w:pPr>
              <w:tabs>
                <w:tab w:val="left" w:pos="360"/>
              </w:tabs>
              <w:jc w:val="both"/>
              <w:rPr>
                <w:rFonts w:cs="Arial"/>
              </w:rPr>
            </w:pPr>
            <w:r w:rsidRPr="00DD5EE6">
              <w:rPr>
                <w:rFonts w:cs="Arial"/>
              </w:rPr>
              <w:tab/>
              <w:t>Winter</w:t>
            </w:r>
          </w:p>
        </w:tc>
        <w:tc>
          <w:tcPr>
            <w:tcW w:w="2160" w:type="dxa"/>
          </w:tcPr>
          <w:p w14:paraId="6FEC80C6" w14:textId="77777777" w:rsidR="00C717D7" w:rsidRPr="00DD5EE6" w:rsidRDefault="00C717D7" w:rsidP="00396BA3">
            <w:pPr>
              <w:tabs>
                <w:tab w:val="decimal" w:pos="1062"/>
              </w:tabs>
              <w:jc w:val="both"/>
              <w:rPr>
                <w:rFonts w:cs="Arial"/>
              </w:rPr>
            </w:pPr>
          </w:p>
        </w:tc>
        <w:tc>
          <w:tcPr>
            <w:tcW w:w="2160" w:type="dxa"/>
          </w:tcPr>
          <w:p w14:paraId="5F150E73" w14:textId="77777777" w:rsidR="00C717D7" w:rsidRPr="00DD5EE6" w:rsidRDefault="00C717D7" w:rsidP="00396BA3">
            <w:pPr>
              <w:tabs>
                <w:tab w:val="decimal" w:pos="1062"/>
              </w:tabs>
              <w:jc w:val="both"/>
              <w:rPr>
                <w:rFonts w:cs="Arial"/>
              </w:rPr>
            </w:pPr>
          </w:p>
        </w:tc>
      </w:tr>
      <w:tr w:rsidR="00C717D7" w:rsidRPr="00DD5EE6" w14:paraId="4E6307C6" w14:textId="77777777" w:rsidTr="00396BA3">
        <w:trPr>
          <w:jc w:val="center"/>
        </w:trPr>
        <w:tc>
          <w:tcPr>
            <w:tcW w:w="3780" w:type="dxa"/>
          </w:tcPr>
          <w:p w14:paraId="13B47F8D"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First 750 kWh, per kWh</w:t>
            </w:r>
          </w:p>
        </w:tc>
        <w:tc>
          <w:tcPr>
            <w:tcW w:w="2160" w:type="dxa"/>
          </w:tcPr>
          <w:p w14:paraId="0E8E1021"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7B0D7589"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04A9AB49" w14:textId="77777777" w:rsidTr="00396BA3">
        <w:trPr>
          <w:jc w:val="center"/>
        </w:trPr>
        <w:tc>
          <w:tcPr>
            <w:tcW w:w="3780" w:type="dxa"/>
          </w:tcPr>
          <w:p w14:paraId="482E0C46"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2999AF00" w14:textId="77777777" w:rsidR="00C717D7" w:rsidRPr="00DD5EE6" w:rsidRDefault="00C717D7" w:rsidP="00396BA3">
            <w:pPr>
              <w:tabs>
                <w:tab w:val="decimal" w:pos="1062"/>
              </w:tabs>
              <w:jc w:val="both"/>
              <w:rPr>
                <w:rFonts w:cs="Arial"/>
              </w:rPr>
            </w:pPr>
            <w:r w:rsidRPr="00DD5EE6">
              <w:rPr>
                <w:rFonts w:cs="Arial"/>
              </w:rPr>
              <w:t>0.0695</w:t>
            </w:r>
          </w:p>
        </w:tc>
        <w:tc>
          <w:tcPr>
            <w:tcW w:w="2160" w:type="dxa"/>
          </w:tcPr>
          <w:p w14:paraId="07DB571D" w14:textId="77777777" w:rsidR="00C717D7" w:rsidRPr="00DD5EE6" w:rsidRDefault="00C717D7" w:rsidP="00396BA3">
            <w:pPr>
              <w:tabs>
                <w:tab w:val="decimal" w:pos="1062"/>
              </w:tabs>
              <w:jc w:val="both"/>
              <w:rPr>
                <w:rFonts w:cs="Arial"/>
              </w:rPr>
            </w:pPr>
            <w:r w:rsidRPr="00DD5EE6">
              <w:rPr>
                <w:rFonts w:cs="Arial"/>
              </w:rPr>
              <w:t>0.0695</w:t>
            </w:r>
          </w:p>
        </w:tc>
      </w:tr>
    </w:tbl>
    <w:p w14:paraId="27684A03" w14:textId="77777777" w:rsidR="00C717D7" w:rsidRPr="00F41491" w:rsidRDefault="00C717D7" w:rsidP="00AC5E11">
      <w:pPr>
        <w:tabs>
          <w:tab w:val="left" w:pos="720"/>
        </w:tabs>
        <w:ind w:left="720" w:hanging="720"/>
        <w:jc w:val="both"/>
        <w:rPr>
          <w:rFonts w:cs="Arial"/>
          <w:sz w:val="22"/>
          <w:szCs w:val="22"/>
        </w:rPr>
      </w:pPr>
    </w:p>
    <w:p w14:paraId="110A2975" w14:textId="534A529E" w:rsidR="003876D1" w:rsidRPr="00DD5EE6" w:rsidRDefault="00071BC3" w:rsidP="00071BC3">
      <w:pPr>
        <w:tabs>
          <w:tab w:val="left" w:pos="720"/>
        </w:tabs>
        <w:ind w:left="720" w:hanging="720"/>
        <w:jc w:val="both"/>
        <w:rPr>
          <w:rFonts w:cs="Arial"/>
        </w:rPr>
      </w:pPr>
      <w:r w:rsidRPr="00F41491">
        <w:rPr>
          <w:rFonts w:cs="Arial"/>
          <w:b/>
          <w:sz w:val="22"/>
          <w:szCs w:val="22"/>
        </w:rPr>
        <w:tab/>
      </w:r>
      <w:r w:rsidR="003876D1" w:rsidRPr="00DD5EE6">
        <w:rPr>
          <w:rFonts w:cs="Arial"/>
          <w:b/>
        </w:rPr>
        <w:t>Minimum Bill</w:t>
      </w:r>
      <w:r w:rsidR="003876D1" w:rsidRPr="00DD5EE6">
        <w:rPr>
          <w:rFonts w:cs="Arial"/>
        </w:rPr>
        <w:t>:  The sum of the Customer Charge and Energy Charge.</w:t>
      </w:r>
    </w:p>
    <w:p w14:paraId="4DE5324A" w14:textId="77777777" w:rsidR="003876D1" w:rsidRPr="00DD5EE6" w:rsidRDefault="003876D1" w:rsidP="003876D1">
      <w:pPr>
        <w:tabs>
          <w:tab w:val="left" w:pos="360"/>
        </w:tabs>
        <w:jc w:val="both"/>
        <w:rPr>
          <w:rFonts w:cs="Arial"/>
        </w:rPr>
      </w:pPr>
    </w:p>
    <w:p w14:paraId="6CC710FB" w14:textId="72E34846" w:rsidR="00DF4654" w:rsidRPr="00DD5EE6" w:rsidRDefault="007438E0" w:rsidP="00071BC3">
      <w:pPr>
        <w:pStyle w:val="ListParagraph"/>
        <w:numPr>
          <w:ilvl w:val="0"/>
          <w:numId w:val="2"/>
        </w:numPr>
        <w:tabs>
          <w:tab w:val="left" w:pos="720"/>
        </w:tabs>
        <w:ind w:left="720" w:hanging="720"/>
        <w:jc w:val="both"/>
        <w:rPr>
          <w:rFonts w:cs="Arial"/>
        </w:rPr>
      </w:pPr>
      <w:r w:rsidRPr="00DD5EE6">
        <w:rPr>
          <w:rFonts w:cs="Arial"/>
          <w:b/>
        </w:rPr>
        <w:t>Commercial</w:t>
      </w:r>
      <w:r w:rsidR="007C012F" w:rsidRPr="00DD5EE6">
        <w:rPr>
          <w:rFonts w:cs="Arial"/>
          <w:b/>
        </w:rPr>
        <w:t xml:space="preserve"> </w:t>
      </w:r>
    </w:p>
    <w:p w14:paraId="2BE34DB1" w14:textId="77777777" w:rsidR="00DF4654" w:rsidRPr="00DD5EE6" w:rsidRDefault="00DF4654" w:rsidP="00071BC3">
      <w:pPr>
        <w:tabs>
          <w:tab w:val="left" w:pos="720"/>
        </w:tabs>
        <w:ind w:left="720" w:hanging="720"/>
        <w:jc w:val="both"/>
        <w:rPr>
          <w:rFonts w:cs="Arial"/>
        </w:rPr>
      </w:pPr>
    </w:p>
    <w:p w14:paraId="4A285757" w14:textId="1458A5EF" w:rsidR="00DF4654" w:rsidRPr="00DD5EE6" w:rsidRDefault="00DF4654" w:rsidP="00071BC3">
      <w:pPr>
        <w:tabs>
          <w:tab w:val="left" w:pos="720"/>
        </w:tabs>
        <w:ind w:left="720" w:hanging="720"/>
        <w:jc w:val="both"/>
        <w:rPr>
          <w:rFonts w:cs="Arial"/>
        </w:rPr>
      </w:pPr>
      <w:r w:rsidRPr="00DD5EE6">
        <w:rPr>
          <w:rFonts w:cs="Arial"/>
        </w:rPr>
        <w:tab/>
      </w:r>
      <w:r w:rsidRPr="00DD5EE6">
        <w:rPr>
          <w:rFonts w:cs="Arial"/>
          <w:b/>
        </w:rPr>
        <w:t>Availability</w:t>
      </w:r>
      <w:r w:rsidRPr="00DD5EE6">
        <w:rPr>
          <w:rFonts w:cs="Arial"/>
        </w:rPr>
        <w:t>:  Available to non-residential customers</w:t>
      </w:r>
      <w:r w:rsidR="00E31EA9" w:rsidRPr="00DD5EE6">
        <w:rPr>
          <w:rFonts w:cs="Arial"/>
        </w:rPr>
        <w:t xml:space="preserve"> within the City’s corporate limits</w:t>
      </w:r>
      <w:r w:rsidRPr="00DD5EE6">
        <w:rPr>
          <w:rFonts w:cs="Arial"/>
        </w:rPr>
        <w:t xml:space="preserve">.  Not applicable to resale, stand-by or </w:t>
      </w:r>
      <w:r w:rsidR="006C727F" w:rsidRPr="00DD5EE6">
        <w:rPr>
          <w:rFonts w:cs="Arial"/>
        </w:rPr>
        <w:t>auxiliary</w:t>
      </w:r>
      <w:r w:rsidRPr="00DD5EE6">
        <w:rPr>
          <w:rFonts w:cs="Arial"/>
        </w:rPr>
        <w:t xml:space="preserve"> service.</w:t>
      </w:r>
    </w:p>
    <w:p w14:paraId="08AB8EDC" w14:textId="77777777" w:rsidR="00DF4654" w:rsidRPr="00DD5EE6" w:rsidRDefault="00DF4654" w:rsidP="00071BC3">
      <w:pPr>
        <w:tabs>
          <w:tab w:val="left" w:pos="720"/>
        </w:tabs>
        <w:ind w:left="720" w:hanging="720"/>
        <w:jc w:val="both"/>
        <w:rPr>
          <w:rFonts w:cs="Arial"/>
        </w:rPr>
      </w:pPr>
    </w:p>
    <w:p w14:paraId="389430C4" w14:textId="38B1BA81" w:rsidR="00DF4654" w:rsidRPr="00DD5EE6" w:rsidRDefault="00DF4654" w:rsidP="00071BC3">
      <w:pPr>
        <w:tabs>
          <w:tab w:val="left" w:pos="720"/>
        </w:tabs>
        <w:ind w:left="720" w:hanging="720"/>
        <w:jc w:val="both"/>
        <w:rPr>
          <w:rFonts w:cs="Arial"/>
        </w:rPr>
      </w:pPr>
      <w:r w:rsidRPr="00DD5EE6">
        <w:rPr>
          <w:rFonts w:cs="Arial"/>
        </w:rPr>
        <w:tab/>
      </w:r>
      <w:r w:rsidRPr="00DD5EE6">
        <w:rPr>
          <w:rFonts w:cs="Arial"/>
          <w:b/>
        </w:rPr>
        <w:t>Character of Service</w:t>
      </w:r>
      <w:r w:rsidRPr="00DD5EE6">
        <w:rPr>
          <w:rFonts w:cs="Arial"/>
        </w:rPr>
        <w:t xml:space="preserve">:  AC, 60 Hertz, </w:t>
      </w:r>
      <w:r w:rsidR="005B1DE1" w:rsidRPr="00DD5EE6">
        <w:rPr>
          <w:rFonts w:cs="Arial"/>
        </w:rPr>
        <w:t xml:space="preserve">single-phase or </w:t>
      </w:r>
      <w:r w:rsidRPr="00DD5EE6">
        <w:rPr>
          <w:rFonts w:cs="Arial"/>
        </w:rPr>
        <w:t>three</w:t>
      </w:r>
      <w:r w:rsidR="005B1DE1" w:rsidRPr="00DD5EE6">
        <w:rPr>
          <w:rFonts w:cs="Arial"/>
        </w:rPr>
        <w:t>-</w:t>
      </w:r>
      <w:r w:rsidRPr="00DD5EE6">
        <w:rPr>
          <w:rFonts w:cs="Arial"/>
        </w:rPr>
        <w:t xml:space="preserve">phase, at any of the </w:t>
      </w:r>
      <w:r w:rsidR="00B0033F" w:rsidRPr="00DD5EE6">
        <w:rPr>
          <w:rFonts w:cs="Arial"/>
        </w:rPr>
        <w:t xml:space="preserve">City’s </w:t>
      </w:r>
      <w:r w:rsidRPr="00DD5EE6">
        <w:rPr>
          <w:rFonts w:cs="Arial"/>
        </w:rPr>
        <w:t>standard voltages where the service may be supplied by a single power transformation.</w:t>
      </w:r>
      <w:r w:rsidRPr="00DD5EE6">
        <w:rPr>
          <w:rFonts w:cs="Arial"/>
        </w:rPr>
        <w:tab/>
      </w:r>
    </w:p>
    <w:p w14:paraId="281F9470" w14:textId="77777777" w:rsidR="00DF4654" w:rsidRPr="00DD5EE6" w:rsidRDefault="00DF4654" w:rsidP="00071BC3">
      <w:pPr>
        <w:tabs>
          <w:tab w:val="left" w:pos="720"/>
        </w:tabs>
        <w:ind w:left="720" w:hanging="720"/>
        <w:jc w:val="both"/>
        <w:rPr>
          <w:rFonts w:cs="Arial"/>
        </w:rPr>
      </w:pPr>
    </w:p>
    <w:p w14:paraId="5E8E603B" w14:textId="1999F150" w:rsidR="00DF4654" w:rsidRPr="00DD5EE6" w:rsidRDefault="00DF4654" w:rsidP="00071BC3">
      <w:pPr>
        <w:tabs>
          <w:tab w:val="left" w:pos="720"/>
        </w:tabs>
        <w:ind w:left="720" w:hanging="720"/>
        <w:jc w:val="both"/>
        <w:rPr>
          <w:rFonts w:cs="Arial"/>
        </w:rPr>
      </w:pPr>
      <w:r w:rsidRPr="00DD5EE6">
        <w:rPr>
          <w:rFonts w:cs="Arial"/>
        </w:rPr>
        <w:tab/>
      </w:r>
      <w:r w:rsidRPr="00DD5EE6">
        <w:rPr>
          <w:rFonts w:cs="Arial"/>
          <w:b/>
        </w:rPr>
        <w:t>Rate</w:t>
      </w:r>
      <w:r w:rsidR="00C717D7" w:rsidRPr="00DD5EE6">
        <w:rPr>
          <w:rFonts w:cs="Arial"/>
          <w:b/>
        </w:rPr>
        <w:t>s</w:t>
      </w:r>
      <w:r w:rsidRPr="00DD5EE6">
        <w:rPr>
          <w:rFonts w:cs="Arial"/>
        </w:rPr>
        <w:t>:</w:t>
      </w:r>
    </w:p>
    <w:p w14:paraId="49BC6A84" w14:textId="137718C0" w:rsidR="00E62D40" w:rsidRDefault="00E62D40" w:rsidP="00DF4654">
      <w:pPr>
        <w:tabs>
          <w:tab w:val="left" w:pos="360"/>
        </w:tabs>
        <w:ind w:left="360" w:hanging="360"/>
        <w:jc w:val="both"/>
        <w:rPr>
          <w:rFonts w:cs="Arial"/>
          <w:sz w:val="22"/>
          <w:szCs w:val="22"/>
        </w:rPr>
      </w:pPr>
    </w:p>
    <w:tbl>
      <w:tblPr>
        <w:tblStyle w:val="TableGrid"/>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160"/>
        <w:gridCol w:w="2160"/>
      </w:tblGrid>
      <w:tr w:rsidR="00C717D7" w:rsidRPr="00DD5EE6" w14:paraId="185F5AF3" w14:textId="77777777" w:rsidTr="00C717D7">
        <w:trPr>
          <w:jc w:val="center"/>
        </w:trPr>
        <w:tc>
          <w:tcPr>
            <w:tcW w:w="3780" w:type="dxa"/>
          </w:tcPr>
          <w:p w14:paraId="42DE72D4" w14:textId="77777777" w:rsidR="00C717D7" w:rsidRPr="00DD5EE6" w:rsidRDefault="00C717D7" w:rsidP="00396BA3">
            <w:pPr>
              <w:tabs>
                <w:tab w:val="left" w:pos="360"/>
              </w:tabs>
              <w:jc w:val="both"/>
              <w:rPr>
                <w:rFonts w:cs="Arial"/>
                <w:b/>
              </w:rPr>
            </w:pPr>
            <w:r w:rsidRPr="00DD5EE6">
              <w:rPr>
                <w:rFonts w:cs="Arial"/>
                <w:b/>
              </w:rPr>
              <w:t>Effective for all billings after:</w:t>
            </w:r>
          </w:p>
        </w:tc>
        <w:tc>
          <w:tcPr>
            <w:tcW w:w="2160" w:type="dxa"/>
          </w:tcPr>
          <w:p w14:paraId="6AE80AE0" w14:textId="77777777" w:rsidR="00C717D7" w:rsidRPr="00DD5EE6" w:rsidRDefault="00C717D7" w:rsidP="00396BA3">
            <w:pPr>
              <w:pStyle w:val="Heading3"/>
            </w:pPr>
            <w:r w:rsidRPr="00DD5EE6">
              <w:t>January 15, 2022</w:t>
            </w:r>
          </w:p>
        </w:tc>
        <w:tc>
          <w:tcPr>
            <w:tcW w:w="2160" w:type="dxa"/>
          </w:tcPr>
          <w:p w14:paraId="62F627BD" w14:textId="77777777" w:rsidR="00C717D7" w:rsidRPr="00DD5EE6" w:rsidRDefault="00C717D7" w:rsidP="00396BA3">
            <w:pPr>
              <w:pStyle w:val="Heading3"/>
            </w:pPr>
            <w:r w:rsidRPr="00DD5EE6">
              <w:t>January 15, 2023</w:t>
            </w:r>
          </w:p>
        </w:tc>
      </w:tr>
      <w:tr w:rsidR="00C717D7" w:rsidRPr="00DD5EE6" w14:paraId="4345F152" w14:textId="77777777" w:rsidTr="00C717D7">
        <w:trPr>
          <w:jc w:val="center"/>
        </w:trPr>
        <w:tc>
          <w:tcPr>
            <w:tcW w:w="3780" w:type="dxa"/>
          </w:tcPr>
          <w:p w14:paraId="1D30D53A" w14:textId="77777777" w:rsidR="00C717D7" w:rsidRPr="00DD5EE6" w:rsidRDefault="00C717D7" w:rsidP="00396BA3">
            <w:pPr>
              <w:tabs>
                <w:tab w:val="left" w:pos="360"/>
              </w:tabs>
              <w:jc w:val="both"/>
              <w:rPr>
                <w:rFonts w:cs="Arial"/>
              </w:rPr>
            </w:pPr>
            <w:r w:rsidRPr="00DD5EE6">
              <w:rPr>
                <w:rFonts w:cs="Arial"/>
              </w:rPr>
              <w:t>Customer Charge, per month</w:t>
            </w:r>
          </w:p>
        </w:tc>
        <w:tc>
          <w:tcPr>
            <w:tcW w:w="2160" w:type="dxa"/>
          </w:tcPr>
          <w:p w14:paraId="7570C757" w14:textId="2B0AE03E" w:rsidR="00C717D7" w:rsidRPr="00DD5EE6" w:rsidRDefault="00C717D7" w:rsidP="00396BA3">
            <w:pPr>
              <w:tabs>
                <w:tab w:val="decimal" w:pos="1062"/>
              </w:tabs>
              <w:jc w:val="both"/>
              <w:rPr>
                <w:rFonts w:cs="Arial"/>
              </w:rPr>
            </w:pPr>
            <w:r w:rsidRPr="00DD5EE6">
              <w:rPr>
                <w:rFonts w:cs="Arial"/>
              </w:rPr>
              <w:t>$1</w:t>
            </w:r>
            <w:r w:rsidR="00F32838" w:rsidRPr="00DD5EE6">
              <w:rPr>
                <w:rFonts w:cs="Arial"/>
              </w:rPr>
              <w:t>6.00</w:t>
            </w:r>
          </w:p>
        </w:tc>
        <w:tc>
          <w:tcPr>
            <w:tcW w:w="2160" w:type="dxa"/>
          </w:tcPr>
          <w:p w14:paraId="029C5A6E" w14:textId="177D8CCA" w:rsidR="00C717D7" w:rsidRPr="00DD5EE6" w:rsidRDefault="00F32838" w:rsidP="00396BA3">
            <w:pPr>
              <w:tabs>
                <w:tab w:val="decimal" w:pos="1062"/>
              </w:tabs>
              <w:jc w:val="both"/>
              <w:rPr>
                <w:rFonts w:cs="Arial"/>
              </w:rPr>
            </w:pPr>
            <w:r w:rsidRPr="00DD5EE6">
              <w:rPr>
                <w:rFonts w:cs="Arial"/>
              </w:rPr>
              <w:t>$18.00</w:t>
            </w:r>
          </w:p>
        </w:tc>
      </w:tr>
      <w:tr w:rsidR="00C717D7" w:rsidRPr="00DD5EE6" w14:paraId="4BB8C1DF" w14:textId="77777777" w:rsidTr="00C717D7">
        <w:trPr>
          <w:jc w:val="center"/>
        </w:trPr>
        <w:tc>
          <w:tcPr>
            <w:tcW w:w="3780" w:type="dxa"/>
          </w:tcPr>
          <w:p w14:paraId="6D47BBF1" w14:textId="77777777" w:rsidR="00C717D7" w:rsidRPr="00DD5EE6" w:rsidRDefault="00C717D7" w:rsidP="00396BA3">
            <w:pPr>
              <w:tabs>
                <w:tab w:val="left" w:pos="360"/>
              </w:tabs>
              <w:jc w:val="both"/>
              <w:rPr>
                <w:rFonts w:cs="Arial"/>
              </w:rPr>
            </w:pPr>
            <w:r w:rsidRPr="00DD5EE6">
              <w:rPr>
                <w:rFonts w:cs="Arial"/>
              </w:rPr>
              <w:t>Energy Charge</w:t>
            </w:r>
          </w:p>
        </w:tc>
        <w:tc>
          <w:tcPr>
            <w:tcW w:w="2160" w:type="dxa"/>
          </w:tcPr>
          <w:p w14:paraId="740205A2" w14:textId="77777777" w:rsidR="00C717D7" w:rsidRPr="00DD5EE6" w:rsidRDefault="00C717D7" w:rsidP="00396BA3">
            <w:pPr>
              <w:tabs>
                <w:tab w:val="decimal" w:pos="1062"/>
              </w:tabs>
              <w:jc w:val="both"/>
              <w:rPr>
                <w:rFonts w:cs="Arial"/>
              </w:rPr>
            </w:pPr>
          </w:p>
        </w:tc>
        <w:tc>
          <w:tcPr>
            <w:tcW w:w="2160" w:type="dxa"/>
          </w:tcPr>
          <w:p w14:paraId="0C9F0613" w14:textId="77777777" w:rsidR="00C717D7" w:rsidRPr="00DD5EE6" w:rsidRDefault="00C717D7" w:rsidP="00396BA3">
            <w:pPr>
              <w:tabs>
                <w:tab w:val="decimal" w:pos="1062"/>
              </w:tabs>
              <w:jc w:val="both"/>
              <w:rPr>
                <w:rFonts w:cs="Arial"/>
              </w:rPr>
            </w:pPr>
          </w:p>
        </w:tc>
      </w:tr>
      <w:tr w:rsidR="00C717D7" w:rsidRPr="00DD5EE6" w14:paraId="70959FC9" w14:textId="77777777" w:rsidTr="00C717D7">
        <w:trPr>
          <w:jc w:val="center"/>
        </w:trPr>
        <w:tc>
          <w:tcPr>
            <w:tcW w:w="3780" w:type="dxa"/>
          </w:tcPr>
          <w:p w14:paraId="09F25FFB" w14:textId="77777777" w:rsidR="00C717D7" w:rsidRPr="00DD5EE6" w:rsidRDefault="00C717D7" w:rsidP="00396BA3">
            <w:pPr>
              <w:tabs>
                <w:tab w:val="left" w:pos="360"/>
              </w:tabs>
              <w:jc w:val="both"/>
              <w:rPr>
                <w:rFonts w:cs="Arial"/>
              </w:rPr>
            </w:pPr>
            <w:r w:rsidRPr="00DD5EE6">
              <w:rPr>
                <w:rFonts w:cs="Arial"/>
              </w:rPr>
              <w:tab/>
              <w:t>Summer</w:t>
            </w:r>
          </w:p>
        </w:tc>
        <w:tc>
          <w:tcPr>
            <w:tcW w:w="2160" w:type="dxa"/>
          </w:tcPr>
          <w:p w14:paraId="3258DD1A" w14:textId="77777777" w:rsidR="00C717D7" w:rsidRPr="00DD5EE6" w:rsidRDefault="00C717D7" w:rsidP="00396BA3">
            <w:pPr>
              <w:tabs>
                <w:tab w:val="decimal" w:pos="1062"/>
              </w:tabs>
              <w:jc w:val="both"/>
              <w:rPr>
                <w:rFonts w:cs="Arial"/>
              </w:rPr>
            </w:pPr>
          </w:p>
        </w:tc>
        <w:tc>
          <w:tcPr>
            <w:tcW w:w="2160" w:type="dxa"/>
          </w:tcPr>
          <w:p w14:paraId="1626FBC6" w14:textId="77777777" w:rsidR="00C717D7" w:rsidRPr="00DD5EE6" w:rsidRDefault="00C717D7" w:rsidP="00396BA3">
            <w:pPr>
              <w:tabs>
                <w:tab w:val="decimal" w:pos="1062"/>
              </w:tabs>
              <w:jc w:val="both"/>
              <w:rPr>
                <w:rFonts w:cs="Arial"/>
              </w:rPr>
            </w:pPr>
          </w:p>
        </w:tc>
      </w:tr>
      <w:tr w:rsidR="00C717D7" w:rsidRPr="00DD5EE6" w14:paraId="56096AFE" w14:textId="77777777" w:rsidTr="00C717D7">
        <w:trPr>
          <w:jc w:val="center"/>
        </w:trPr>
        <w:tc>
          <w:tcPr>
            <w:tcW w:w="3780" w:type="dxa"/>
          </w:tcPr>
          <w:p w14:paraId="371FDF73" w14:textId="77777777" w:rsidR="00C717D7" w:rsidRPr="00DD5EE6" w:rsidRDefault="00C717D7" w:rsidP="00396BA3">
            <w:pPr>
              <w:tabs>
                <w:tab w:val="left" w:pos="360"/>
                <w:tab w:val="left" w:pos="702"/>
              </w:tabs>
              <w:rPr>
                <w:rFonts w:cs="Arial"/>
              </w:rPr>
            </w:pPr>
            <w:r w:rsidRPr="00DD5EE6">
              <w:rPr>
                <w:rFonts w:cs="Arial"/>
              </w:rPr>
              <w:tab/>
            </w:r>
            <w:r w:rsidRPr="00DD5EE6">
              <w:rPr>
                <w:rFonts w:cs="Arial"/>
              </w:rPr>
              <w:tab/>
              <w:t>First 750 kWh, per kWh</w:t>
            </w:r>
          </w:p>
        </w:tc>
        <w:tc>
          <w:tcPr>
            <w:tcW w:w="2160" w:type="dxa"/>
          </w:tcPr>
          <w:p w14:paraId="5CCC1B50"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1D40B26B"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0EA3F6FF" w14:textId="77777777" w:rsidTr="00C717D7">
        <w:trPr>
          <w:jc w:val="center"/>
        </w:trPr>
        <w:tc>
          <w:tcPr>
            <w:tcW w:w="3780" w:type="dxa"/>
          </w:tcPr>
          <w:p w14:paraId="656509A3" w14:textId="58B21D32" w:rsidR="00C717D7" w:rsidRPr="00DD5EE6" w:rsidRDefault="00C717D7" w:rsidP="00396BA3">
            <w:pPr>
              <w:tabs>
                <w:tab w:val="left" w:pos="360"/>
              </w:tabs>
              <w:jc w:val="both"/>
              <w:rPr>
                <w:rFonts w:cs="Arial"/>
              </w:rPr>
            </w:pPr>
            <w:r w:rsidRPr="00DD5EE6">
              <w:rPr>
                <w:rFonts w:cs="Arial"/>
              </w:rPr>
              <w:tab/>
            </w:r>
            <w:r w:rsidRPr="00DD5EE6">
              <w:rPr>
                <w:rFonts w:cs="Arial"/>
              </w:rPr>
              <w:tab/>
              <w:t>Next 1,750 kWh, per kWh</w:t>
            </w:r>
          </w:p>
        </w:tc>
        <w:tc>
          <w:tcPr>
            <w:tcW w:w="2160" w:type="dxa"/>
          </w:tcPr>
          <w:p w14:paraId="702F97AA" w14:textId="74AB12D3" w:rsidR="00C717D7" w:rsidRPr="00DD5EE6" w:rsidRDefault="00C717D7" w:rsidP="00396BA3">
            <w:pPr>
              <w:tabs>
                <w:tab w:val="decimal" w:pos="1062"/>
              </w:tabs>
              <w:jc w:val="both"/>
              <w:rPr>
                <w:rFonts w:cs="Arial"/>
              </w:rPr>
            </w:pPr>
            <w:r w:rsidRPr="00DD5EE6">
              <w:rPr>
                <w:rFonts w:cs="Arial"/>
              </w:rPr>
              <w:t>0.1110</w:t>
            </w:r>
          </w:p>
        </w:tc>
        <w:tc>
          <w:tcPr>
            <w:tcW w:w="2160" w:type="dxa"/>
          </w:tcPr>
          <w:p w14:paraId="6CDA52B6" w14:textId="1897A777" w:rsidR="00C717D7" w:rsidRPr="00DD5EE6" w:rsidRDefault="00C717D7" w:rsidP="00396BA3">
            <w:pPr>
              <w:tabs>
                <w:tab w:val="decimal" w:pos="1062"/>
              </w:tabs>
              <w:jc w:val="both"/>
              <w:rPr>
                <w:rFonts w:cs="Arial"/>
              </w:rPr>
            </w:pPr>
            <w:r w:rsidRPr="00DD5EE6">
              <w:rPr>
                <w:rFonts w:cs="Arial"/>
              </w:rPr>
              <w:t>0.1110</w:t>
            </w:r>
          </w:p>
        </w:tc>
      </w:tr>
      <w:tr w:rsidR="00C717D7" w:rsidRPr="00DD5EE6" w14:paraId="10C2D53D" w14:textId="77777777" w:rsidTr="00C717D7">
        <w:trPr>
          <w:jc w:val="center"/>
        </w:trPr>
        <w:tc>
          <w:tcPr>
            <w:tcW w:w="3780" w:type="dxa"/>
          </w:tcPr>
          <w:p w14:paraId="425A6DFC"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223A42FA" w14:textId="3A6D533C" w:rsidR="00C717D7" w:rsidRPr="00DD5EE6" w:rsidRDefault="00C717D7" w:rsidP="00396BA3">
            <w:pPr>
              <w:tabs>
                <w:tab w:val="decimal" w:pos="1062"/>
              </w:tabs>
              <w:jc w:val="both"/>
              <w:rPr>
                <w:rFonts w:cs="Arial"/>
              </w:rPr>
            </w:pPr>
            <w:r w:rsidRPr="00DD5EE6">
              <w:rPr>
                <w:rFonts w:cs="Arial"/>
              </w:rPr>
              <w:t>0.1110</w:t>
            </w:r>
          </w:p>
        </w:tc>
        <w:tc>
          <w:tcPr>
            <w:tcW w:w="2160" w:type="dxa"/>
          </w:tcPr>
          <w:p w14:paraId="30282FE9" w14:textId="74B6907A" w:rsidR="00C717D7" w:rsidRPr="00DD5EE6" w:rsidRDefault="00C717D7" w:rsidP="00396BA3">
            <w:pPr>
              <w:tabs>
                <w:tab w:val="decimal" w:pos="1062"/>
              </w:tabs>
              <w:jc w:val="both"/>
              <w:rPr>
                <w:rFonts w:cs="Arial"/>
              </w:rPr>
            </w:pPr>
            <w:r w:rsidRPr="00DD5EE6">
              <w:rPr>
                <w:rFonts w:cs="Arial"/>
              </w:rPr>
              <w:t>0.1</w:t>
            </w:r>
            <w:r w:rsidR="00F32838" w:rsidRPr="00DD5EE6">
              <w:rPr>
                <w:rFonts w:cs="Arial"/>
              </w:rPr>
              <w:t>110</w:t>
            </w:r>
          </w:p>
        </w:tc>
      </w:tr>
      <w:tr w:rsidR="00C717D7" w:rsidRPr="00DD5EE6" w14:paraId="3ABFE1DD" w14:textId="77777777" w:rsidTr="00C717D7">
        <w:trPr>
          <w:jc w:val="center"/>
        </w:trPr>
        <w:tc>
          <w:tcPr>
            <w:tcW w:w="3780" w:type="dxa"/>
          </w:tcPr>
          <w:p w14:paraId="1D7B459A" w14:textId="77777777" w:rsidR="00C717D7" w:rsidRPr="00DD5EE6" w:rsidRDefault="00C717D7" w:rsidP="00396BA3">
            <w:pPr>
              <w:tabs>
                <w:tab w:val="left" w:pos="360"/>
              </w:tabs>
              <w:jc w:val="both"/>
              <w:rPr>
                <w:rFonts w:cs="Arial"/>
              </w:rPr>
            </w:pPr>
            <w:r w:rsidRPr="00DD5EE6">
              <w:rPr>
                <w:rFonts w:cs="Arial"/>
              </w:rPr>
              <w:tab/>
              <w:t>Winter</w:t>
            </w:r>
          </w:p>
        </w:tc>
        <w:tc>
          <w:tcPr>
            <w:tcW w:w="2160" w:type="dxa"/>
          </w:tcPr>
          <w:p w14:paraId="1D29E084" w14:textId="77777777" w:rsidR="00C717D7" w:rsidRPr="00DD5EE6" w:rsidRDefault="00C717D7" w:rsidP="00396BA3">
            <w:pPr>
              <w:tabs>
                <w:tab w:val="decimal" w:pos="1062"/>
              </w:tabs>
              <w:jc w:val="both"/>
              <w:rPr>
                <w:rFonts w:cs="Arial"/>
              </w:rPr>
            </w:pPr>
          </w:p>
        </w:tc>
        <w:tc>
          <w:tcPr>
            <w:tcW w:w="2160" w:type="dxa"/>
          </w:tcPr>
          <w:p w14:paraId="6A96EAF0" w14:textId="77777777" w:rsidR="00C717D7" w:rsidRPr="00DD5EE6" w:rsidRDefault="00C717D7" w:rsidP="00396BA3">
            <w:pPr>
              <w:tabs>
                <w:tab w:val="decimal" w:pos="1062"/>
              </w:tabs>
              <w:jc w:val="both"/>
              <w:rPr>
                <w:rFonts w:cs="Arial"/>
              </w:rPr>
            </w:pPr>
          </w:p>
        </w:tc>
      </w:tr>
      <w:tr w:rsidR="00C717D7" w:rsidRPr="00DD5EE6" w14:paraId="71A0DB6B" w14:textId="77777777" w:rsidTr="00C717D7">
        <w:trPr>
          <w:jc w:val="center"/>
        </w:trPr>
        <w:tc>
          <w:tcPr>
            <w:tcW w:w="3780" w:type="dxa"/>
          </w:tcPr>
          <w:p w14:paraId="6E48AB9B"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First 750 kWh, per kWh</w:t>
            </w:r>
          </w:p>
        </w:tc>
        <w:tc>
          <w:tcPr>
            <w:tcW w:w="2160" w:type="dxa"/>
          </w:tcPr>
          <w:p w14:paraId="74EC4EB8"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2894DAF6"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4805F037" w14:textId="77777777" w:rsidTr="00C717D7">
        <w:trPr>
          <w:jc w:val="center"/>
        </w:trPr>
        <w:tc>
          <w:tcPr>
            <w:tcW w:w="3780" w:type="dxa"/>
          </w:tcPr>
          <w:p w14:paraId="69DACADB" w14:textId="6ABE6118" w:rsidR="00C717D7" w:rsidRPr="00DD5EE6" w:rsidRDefault="00C717D7" w:rsidP="00396BA3">
            <w:pPr>
              <w:tabs>
                <w:tab w:val="left" w:pos="360"/>
              </w:tabs>
              <w:jc w:val="both"/>
              <w:rPr>
                <w:rFonts w:cs="Arial"/>
              </w:rPr>
            </w:pPr>
            <w:r w:rsidRPr="00DD5EE6">
              <w:rPr>
                <w:rFonts w:cs="Arial"/>
              </w:rPr>
              <w:tab/>
            </w:r>
            <w:r w:rsidRPr="00DD5EE6">
              <w:rPr>
                <w:rFonts w:cs="Arial"/>
              </w:rPr>
              <w:tab/>
              <w:t>Next 1,750 kWh, per kWh</w:t>
            </w:r>
          </w:p>
        </w:tc>
        <w:tc>
          <w:tcPr>
            <w:tcW w:w="2160" w:type="dxa"/>
          </w:tcPr>
          <w:p w14:paraId="09A51831" w14:textId="05B0B16B"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80</w:t>
            </w:r>
          </w:p>
        </w:tc>
        <w:tc>
          <w:tcPr>
            <w:tcW w:w="2160" w:type="dxa"/>
          </w:tcPr>
          <w:p w14:paraId="1D9DC11B" w14:textId="08628FA8"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90</w:t>
            </w:r>
          </w:p>
        </w:tc>
      </w:tr>
      <w:tr w:rsidR="00C717D7" w:rsidRPr="00DD5EE6" w14:paraId="74990DDA" w14:textId="77777777" w:rsidTr="00C717D7">
        <w:trPr>
          <w:jc w:val="center"/>
        </w:trPr>
        <w:tc>
          <w:tcPr>
            <w:tcW w:w="3780" w:type="dxa"/>
          </w:tcPr>
          <w:p w14:paraId="430E7FB9"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1E46ACC2" w14:textId="733DA474"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80</w:t>
            </w:r>
          </w:p>
        </w:tc>
        <w:tc>
          <w:tcPr>
            <w:tcW w:w="2160" w:type="dxa"/>
          </w:tcPr>
          <w:p w14:paraId="185E4C12" w14:textId="0856383B"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90</w:t>
            </w:r>
          </w:p>
        </w:tc>
      </w:tr>
    </w:tbl>
    <w:p w14:paraId="5E1A74EF" w14:textId="3D6FF64F" w:rsidR="00DF4654" w:rsidRPr="00DD5EE6" w:rsidRDefault="00DF4654" w:rsidP="00071BC3">
      <w:pPr>
        <w:tabs>
          <w:tab w:val="left" w:pos="720"/>
        </w:tabs>
        <w:ind w:left="720" w:hanging="720"/>
        <w:jc w:val="both"/>
        <w:rPr>
          <w:rFonts w:cs="Arial"/>
        </w:rPr>
      </w:pPr>
      <w:r w:rsidRPr="00F41491">
        <w:rPr>
          <w:rFonts w:cs="Arial"/>
          <w:sz w:val="22"/>
          <w:szCs w:val="22"/>
        </w:rPr>
        <w:lastRenderedPageBreak/>
        <w:tab/>
      </w:r>
      <w:r w:rsidRPr="00DD5EE6">
        <w:rPr>
          <w:rFonts w:cs="Arial"/>
          <w:b/>
        </w:rPr>
        <w:t>Minimum Bill</w:t>
      </w:r>
      <w:r w:rsidRPr="00DD5EE6">
        <w:rPr>
          <w:rFonts w:cs="Arial"/>
        </w:rPr>
        <w:t>:  The sum of the Customer Charge and Energy Charge.</w:t>
      </w:r>
    </w:p>
    <w:p w14:paraId="2A4047BC" w14:textId="2895A8DE" w:rsidR="00187658" w:rsidRPr="00DD5EE6" w:rsidRDefault="00187658" w:rsidP="00071BC3">
      <w:pPr>
        <w:tabs>
          <w:tab w:val="left" w:pos="720"/>
        </w:tabs>
        <w:ind w:left="720" w:hanging="720"/>
        <w:jc w:val="both"/>
        <w:rPr>
          <w:rFonts w:cs="Arial"/>
        </w:rPr>
      </w:pPr>
    </w:p>
    <w:p w14:paraId="720834E3" w14:textId="7C0A2361" w:rsidR="00050109" w:rsidRPr="00DD5EE6" w:rsidRDefault="00050109" w:rsidP="00050109">
      <w:pPr>
        <w:pStyle w:val="ListParagraph"/>
        <w:numPr>
          <w:ilvl w:val="0"/>
          <w:numId w:val="2"/>
        </w:numPr>
        <w:tabs>
          <w:tab w:val="left" w:pos="720"/>
        </w:tabs>
        <w:ind w:left="720" w:hanging="720"/>
        <w:jc w:val="both"/>
        <w:rPr>
          <w:rFonts w:cs="Arial"/>
          <w:b/>
        </w:rPr>
      </w:pPr>
      <w:r w:rsidRPr="00DD5EE6">
        <w:rPr>
          <w:rFonts w:cs="Arial"/>
          <w:b/>
        </w:rPr>
        <w:t>Rural Commercial</w:t>
      </w:r>
    </w:p>
    <w:p w14:paraId="2BFC43D0" w14:textId="2F41EBF0" w:rsidR="00050109" w:rsidRPr="00DD5EE6" w:rsidRDefault="00050109" w:rsidP="00050109">
      <w:pPr>
        <w:tabs>
          <w:tab w:val="left" w:pos="720"/>
        </w:tabs>
        <w:jc w:val="both"/>
        <w:rPr>
          <w:rFonts w:cs="Arial"/>
        </w:rPr>
      </w:pPr>
    </w:p>
    <w:p w14:paraId="55440BE3" w14:textId="3A6763A3" w:rsidR="00050109" w:rsidRPr="00DD5EE6" w:rsidRDefault="00050109" w:rsidP="00050109">
      <w:pPr>
        <w:tabs>
          <w:tab w:val="left" w:pos="720"/>
        </w:tabs>
        <w:ind w:left="720" w:hanging="720"/>
        <w:jc w:val="both"/>
        <w:rPr>
          <w:rFonts w:cs="Arial"/>
        </w:rPr>
      </w:pPr>
      <w:r w:rsidRPr="00DD5EE6">
        <w:rPr>
          <w:rFonts w:cs="Arial"/>
          <w:b/>
        </w:rPr>
        <w:tab/>
        <w:t>Availability</w:t>
      </w:r>
      <w:r w:rsidRPr="00DD5EE6">
        <w:rPr>
          <w:rFonts w:cs="Arial"/>
        </w:rPr>
        <w:t>:  Available to non-residential customers located outside the City’s corporate limits.  Not applicable to resale, stand-by or auxiliary service.</w:t>
      </w:r>
    </w:p>
    <w:p w14:paraId="2E88DF67" w14:textId="77777777" w:rsidR="00050109" w:rsidRPr="00DD5EE6" w:rsidRDefault="00050109" w:rsidP="00050109">
      <w:pPr>
        <w:tabs>
          <w:tab w:val="left" w:pos="720"/>
        </w:tabs>
        <w:ind w:left="720" w:hanging="720"/>
        <w:jc w:val="both"/>
        <w:rPr>
          <w:rFonts w:cs="Arial"/>
        </w:rPr>
      </w:pPr>
    </w:p>
    <w:p w14:paraId="1790E24A" w14:textId="2B6626FA" w:rsidR="00807258" w:rsidRDefault="00050109" w:rsidP="00050109">
      <w:pPr>
        <w:tabs>
          <w:tab w:val="left" w:pos="720"/>
        </w:tabs>
        <w:ind w:left="720" w:hanging="720"/>
        <w:jc w:val="both"/>
        <w:rPr>
          <w:rFonts w:cs="Arial"/>
          <w:sz w:val="22"/>
          <w:szCs w:val="22"/>
        </w:rPr>
      </w:pPr>
      <w:r w:rsidRPr="00DD5EE6">
        <w:rPr>
          <w:rFonts w:cs="Arial"/>
        </w:rPr>
        <w:tab/>
      </w:r>
      <w:r w:rsidRPr="00DD5EE6">
        <w:rPr>
          <w:rFonts w:cs="Arial"/>
          <w:b/>
        </w:rPr>
        <w:t>Character of Service</w:t>
      </w:r>
      <w:r w:rsidRPr="00DD5EE6">
        <w:rPr>
          <w:rFonts w:cs="Arial"/>
        </w:rPr>
        <w:t xml:space="preserve">:  AC, 60 Hertz, single-phase or three-phase, at any of the </w:t>
      </w:r>
      <w:r w:rsidR="00B0033F" w:rsidRPr="00DD5EE6">
        <w:rPr>
          <w:rFonts w:cs="Arial"/>
        </w:rPr>
        <w:t xml:space="preserve">City’s </w:t>
      </w:r>
      <w:r w:rsidRPr="00DD5EE6">
        <w:rPr>
          <w:rFonts w:cs="Arial"/>
        </w:rPr>
        <w:t>standard voltages where the service may be supplied by a single power transformation</w:t>
      </w:r>
      <w:r w:rsidRPr="00F41491">
        <w:rPr>
          <w:rFonts w:cs="Arial"/>
          <w:sz w:val="22"/>
          <w:szCs w:val="22"/>
        </w:rPr>
        <w:t>.</w:t>
      </w:r>
    </w:p>
    <w:p w14:paraId="53EF4763" w14:textId="377B7DAB" w:rsidR="00050109" w:rsidRPr="00F41491" w:rsidRDefault="00050109" w:rsidP="00050109">
      <w:pPr>
        <w:tabs>
          <w:tab w:val="left" w:pos="720"/>
        </w:tabs>
        <w:ind w:left="720" w:hanging="720"/>
        <w:jc w:val="both"/>
        <w:rPr>
          <w:rFonts w:cs="Arial"/>
          <w:sz w:val="22"/>
          <w:szCs w:val="22"/>
        </w:rPr>
      </w:pPr>
      <w:r w:rsidRPr="00F41491">
        <w:rPr>
          <w:rFonts w:cs="Arial"/>
          <w:sz w:val="22"/>
          <w:szCs w:val="22"/>
        </w:rPr>
        <w:tab/>
      </w:r>
    </w:p>
    <w:p w14:paraId="176143CE" w14:textId="4022BEC1" w:rsidR="00050109" w:rsidRPr="00DD5EE6" w:rsidRDefault="00050109" w:rsidP="00050109">
      <w:pPr>
        <w:tabs>
          <w:tab w:val="left" w:pos="720"/>
        </w:tabs>
        <w:ind w:left="720" w:hanging="720"/>
        <w:jc w:val="both"/>
        <w:rPr>
          <w:rFonts w:cs="Arial"/>
        </w:rPr>
      </w:pPr>
      <w:r w:rsidRPr="00DD5EE6">
        <w:rPr>
          <w:rFonts w:cs="Arial"/>
          <w:b/>
        </w:rPr>
        <w:t>Rate</w:t>
      </w:r>
      <w:r w:rsidR="00C717D7" w:rsidRPr="00DD5EE6">
        <w:rPr>
          <w:rFonts w:cs="Arial"/>
          <w:b/>
        </w:rPr>
        <w:t>s</w:t>
      </w:r>
      <w:r w:rsidRPr="00DD5EE6">
        <w:rPr>
          <w:rFonts w:cs="Arial"/>
        </w:rPr>
        <w:t>:</w:t>
      </w:r>
    </w:p>
    <w:p w14:paraId="0F7AAA13" w14:textId="77777777" w:rsidR="00AF39AB" w:rsidRDefault="00AF39AB" w:rsidP="00050109">
      <w:pPr>
        <w:tabs>
          <w:tab w:val="left" w:pos="720"/>
        </w:tabs>
        <w:ind w:left="720" w:hanging="720"/>
        <w:jc w:val="both"/>
        <w:rPr>
          <w:rFonts w:cs="Arial"/>
          <w:sz w:val="22"/>
          <w:szCs w:val="22"/>
        </w:rPr>
      </w:pPr>
    </w:p>
    <w:tbl>
      <w:tblPr>
        <w:tblStyle w:val="TableGrid"/>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160"/>
        <w:gridCol w:w="2160"/>
      </w:tblGrid>
      <w:tr w:rsidR="00C717D7" w:rsidRPr="00DD5EE6" w14:paraId="4182D2D0" w14:textId="77777777" w:rsidTr="00396BA3">
        <w:trPr>
          <w:jc w:val="center"/>
        </w:trPr>
        <w:tc>
          <w:tcPr>
            <w:tcW w:w="3780" w:type="dxa"/>
          </w:tcPr>
          <w:p w14:paraId="5B13F78E" w14:textId="77777777" w:rsidR="00C717D7" w:rsidRPr="00DD5EE6" w:rsidRDefault="00C717D7" w:rsidP="00396BA3">
            <w:pPr>
              <w:tabs>
                <w:tab w:val="left" w:pos="360"/>
              </w:tabs>
              <w:jc w:val="both"/>
              <w:rPr>
                <w:rFonts w:cs="Arial"/>
                <w:b/>
              </w:rPr>
            </w:pPr>
            <w:r w:rsidRPr="00DD5EE6">
              <w:rPr>
                <w:rFonts w:cs="Arial"/>
                <w:b/>
              </w:rPr>
              <w:t>Effective for all billings after:</w:t>
            </w:r>
          </w:p>
        </w:tc>
        <w:tc>
          <w:tcPr>
            <w:tcW w:w="2160" w:type="dxa"/>
          </w:tcPr>
          <w:p w14:paraId="280CD8C1" w14:textId="77777777" w:rsidR="00C717D7" w:rsidRPr="00DD5EE6" w:rsidRDefault="00C717D7" w:rsidP="00396BA3">
            <w:pPr>
              <w:pStyle w:val="Heading3"/>
            </w:pPr>
            <w:r w:rsidRPr="00DD5EE6">
              <w:t>January 15, 2022</w:t>
            </w:r>
          </w:p>
        </w:tc>
        <w:tc>
          <w:tcPr>
            <w:tcW w:w="2160" w:type="dxa"/>
          </w:tcPr>
          <w:p w14:paraId="0FE4399C" w14:textId="77777777" w:rsidR="00C717D7" w:rsidRPr="00DD5EE6" w:rsidRDefault="00C717D7" w:rsidP="00396BA3">
            <w:pPr>
              <w:pStyle w:val="Heading3"/>
            </w:pPr>
            <w:r w:rsidRPr="00DD5EE6">
              <w:t>January 15, 2023</w:t>
            </w:r>
          </w:p>
        </w:tc>
      </w:tr>
      <w:tr w:rsidR="00C717D7" w:rsidRPr="00DD5EE6" w14:paraId="59D55752" w14:textId="77777777" w:rsidTr="00396BA3">
        <w:trPr>
          <w:jc w:val="center"/>
        </w:trPr>
        <w:tc>
          <w:tcPr>
            <w:tcW w:w="3780" w:type="dxa"/>
          </w:tcPr>
          <w:p w14:paraId="52DE57CB" w14:textId="77777777" w:rsidR="00C717D7" w:rsidRPr="00DD5EE6" w:rsidRDefault="00C717D7" w:rsidP="00396BA3">
            <w:pPr>
              <w:tabs>
                <w:tab w:val="left" w:pos="360"/>
              </w:tabs>
              <w:jc w:val="both"/>
              <w:rPr>
                <w:rFonts w:cs="Arial"/>
              </w:rPr>
            </w:pPr>
            <w:r w:rsidRPr="00DD5EE6">
              <w:rPr>
                <w:rFonts w:cs="Arial"/>
              </w:rPr>
              <w:t>Customer Charge, per month</w:t>
            </w:r>
          </w:p>
        </w:tc>
        <w:tc>
          <w:tcPr>
            <w:tcW w:w="2160" w:type="dxa"/>
          </w:tcPr>
          <w:p w14:paraId="36DAE59B" w14:textId="693561AE" w:rsidR="00C717D7" w:rsidRPr="00DD5EE6" w:rsidRDefault="00C717D7" w:rsidP="00396BA3">
            <w:pPr>
              <w:tabs>
                <w:tab w:val="decimal" w:pos="1062"/>
              </w:tabs>
              <w:jc w:val="both"/>
              <w:rPr>
                <w:rFonts w:cs="Arial"/>
              </w:rPr>
            </w:pPr>
            <w:r w:rsidRPr="00DD5EE6">
              <w:rPr>
                <w:rFonts w:cs="Arial"/>
              </w:rPr>
              <w:t>$</w:t>
            </w:r>
            <w:r w:rsidR="00F32838" w:rsidRPr="00DD5EE6">
              <w:rPr>
                <w:rFonts w:cs="Arial"/>
              </w:rPr>
              <w:t>20.50</w:t>
            </w:r>
          </w:p>
        </w:tc>
        <w:tc>
          <w:tcPr>
            <w:tcW w:w="2160" w:type="dxa"/>
          </w:tcPr>
          <w:p w14:paraId="06A74381" w14:textId="10C5D1F7" w:rsidR="00C717D7" w:rsidRPr="00DD5EE6" w:rsidRDefault="00F32838" w:rsidP="00396BA3">
            <w:pPr>
              <w:tabs>
                <w:tab w:val="decimal" w:pos="1062"/>
              </w:tabs>
              <w:jc w:val="both"/>
              <w:rPr>
                <w:rFonts w:cs="Arial"/>
              </w:rPr>
            </w:pPr>
            <w:r w:rsidRPr="00DD5EE6">
              <w:rPr>
                <w:rFonts w:cs="Arial"/>
              </w:rPr>
              <w:t>$22.00</w:t>
            </w:r>
          </w:p>
        </w:tc>
      </w:tr>
      <w:tr w:rsidR="00C717D7" w:rsidRPr="00DD5EE6" w14:paraId="4A09213E" w14:textId="77777777" w:rsidTr="00396BA3">
        <w:trPr>
          <w:jc w:val="center"/>
        </w:trPr>
        <w:tc>
          <w:tcPr>
            <w:tcW w:w="3780" w:type="dxa"/>
          </w:tcPr>
          <w:p w14:paraId="6883CC1D" w14:textId="77777777" w:rsidR="00C717D7" w:rsidRPr="00DD5EE6" w:rsidRDefault="00C717D7" w:rsidP="00396BA3">
            <w:pPr>
              <w:tabs>
                <w:tab w:val="left" w:pos="360"/>
              </w:tabs>
              <w:jc w:val="both"/>
              <w:rPr>
                <w:rFonts w:cs="Arial"/>
              </w:rPr>
            </w:pPr>
            <w:r w:rsidRPr="00DD5EE6">
              <w:rPr>
                <w:rFonts w:cs="Arial"/>
              </w:rPr>
              <w:t>Energy Charge</w:t>
            </w:r>
          </w:p>
        </w:tc>
        <w:tc>
          <w:tcPr>
            <w:tcW w:w="2160" w:type="dxa"/>
          </w:tcPr>
          <w:p w14:paraId="233A60E2" w14:textId="77777777" w:rsidR="00C717D7" w:rsidRPr="00DD5EE6" w:rsidRDefault="00C717D7" w:rsidP="00396BA3">
            <w:pPr>
              <w:tabs>
                <w:tab w:val="decimal" w:pos="1062"/>
              </w:tabs>
              <w:jc w:val="both"/>
              <w:rPr>
                <w:rFonts w:cs="Arial"/>
              </w:rPr>
            </w:pPr>
          </w:p>
        </w:tc>
        <w:tc>
          <w:tcPr>
            <w:tcW w:w="2160" w:type="dxa"/>
          </w:tcPr>
          <w:p w14:paraId="11A38A9B" w14:textId="77777777" w:rsidR="00C717D7" w:rsidRPr="00DD5EE6" w:rsidRDefault="00C717D7" w:rsidP="00396BA3">
            <w:pPr>
              <w:tabs>
                <w:tab w:val="decimal" w:pos="1062"/>
              </w:tabs>
              <w:jc w:val="both"/>
              <w:rPr>
                <w:rFonts w:cs="Arial"/>
              </w:rPr>
            </w:pPr>
          </w:p>
        </w:tc>
      </w:tr>
      <w:tr w:rsidR="00C717D7" w:rsidRPr="00DD5EE6" w14:paraId="751815C5" w14:textId="77777777" w:rsidTr="00396BA3">
        <w:trPr>
          <w:jc w:val="center"/>
        </w:trPr>
        <w:tc>
          <w:tcPr>
            <w:tcW w:w="3780" w:type="dxa"/>
          </w:tcPr>
          <w:p w14:paraId="5B4D258F" w14:textId="77777777" w:rsidR="00C717D7" w:rsidRPr="00DD5EE6" w:rsidRDefault="00C717D7" w:rsidP="00396BA3">
            <w:pPr>
              <w:tabs>
                <w:tab w:val="left" w:pos="360"/>
              </w:tabs>
              <w:jc w:val="both"/>
              <w:rPr>
                <w:rFonts w:cs="Arial"/>
              </w:rPr>
            </w:pPr>
            <w:r w:rsidRPr="00DD5EE6">
              <w:rPr>
                <w:rFonts w:cs="Arial"/>
              </w:rPr>
              <w:tab/>
              <w:t>Summer</w:t>
            </w:r>
          </w:p>
        </w:tc>
        <w:tc>
          <w:tcPr>
            <w:tcW w:w="2160" w:type="dxa"/>
          </w:tcPr>
          <w:p w14:paraId="39A6B737" w14:textId="77777777" w:rsidR="00C717D7" w:rsidRPr="00DD5EE6" w:rsidRDefault="00C717D7" w:rsidP="00396BA3">
            <w:pPr>
              <w:tabs>
                <w:tab w:val="decimal" w:pos="1062"/>
              </w:tabs>
              <w:jc w:val="both"/>
              <w:rPr>
                <w:rFonts w:cs="Arial"/>
              </w:rPr>
            </w:pPr>
          </w:p>
        </w:tc>
        <w:tc>
          <w:tcPr>
            <w:tcW w:w="2160" w:type="dxa"/>
          </w:tcPr>
          <w:p w14:paraId="4BCF91C5" w14:textId="77777777" w:rsidR="00C717D7" w:rsidRPr="00DD5EE6" w:rsidRDefault="00C717D7" w:rsidP="00396BA3">
            <w:pPr>
              <w:tabs>
                <w:tab w:val="decimal" w:pos="1062"/>
              </w:tabs>
              <w:jc w:val="both"/>
              <w:rPr>
                <w:rFonts w:cs="Arial"/>
              </w:rPr>
            </w:pPr>
          </w:p>
        </w:tc>
      </w:tr>
      <w:tr w:rsidR="00C717D7" w:rsidRPr="00DD5EE6" w14:paraId="11C3DA9F" w14:textId="77777777" w:rsidTr="00396BA3">
        <w:trPr>
          <w:jc w:val="center"/>
        </w:trPr>
        <w:tc>
          <w:tcPr>
            <w:tcW w:w="3780" w:type="dxa"/>
          </w:tcPr>
          <w:p w14:paraId="3808134A" w14:textId="77777777" w:rsidR="00C717D7" w:rsidRPr="00DD5EE6" w:rsidRDefault="00C717D7" w:rsidP="00396BA3">
            <w:pPr>
              <w:tabs>
                <w:tab w:val="left" w:pos="360"/>
                <w:tab w:val="left" w:pos="702"/>
              </w:tabs>
              <w:rPr>
                <w:rFonts w:cs="Arial"/>
              </w:rPr>
            </w:pPr>
            <w:r w:rsidRPr="00DD5EE6">
              <w:rPr>
                <w:rFonts w:cs="Arial"/>
              </w:rPr>
              <w:tab/>
            </w:r>
            <w:r w:rsidRPr="00DD5EE6">
              <w:rPr>
                <w:rFonts w:cs="Arial"/>
              </w:rPr>
              <w:tab/>
              <w:t>First 750 kWh, per kWh</w:t>
            </w:r>
          </w:p>
        </w:tc>
        <w:tc>
          <w:tcPr>
            <w:tcW w:w="2160" w:type="dxa"/>
          </w:tcPr>
          <w:p w14:paraId="28D8C6F1"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1F54C2DA"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253B46B7" w14:textId="77777777" w:rsidTr="00396BA3">
        <w:trPr>
          <w:jc w:val="center"/>
        </w:trPr>
        <w:tc>
          <w:tcPr>
            <w:tcW w:w="3780" w:type="dxa"/>
          </w:tcPr>
          <w:p w14:paraId="21A6CCCC"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Next 1,750 kWh, per kWh</w:t>
            </w:r>
          </w:p>
        </w:tc>
        <w:tc>
          <w:tcPr>
            <w:tcW w:w="2160" w:type="dxa"/>
          </w:tcPr>
          <w:p w14:paraId="170B6915"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2BCAFC3C"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7A455F35" w14:textId="77777777" w:rsidTr="00396BA3">
        <w:trPr>
          <w:jc w:val="center"/>
        </w:trPr>
        <w:tc>
          <w:tcPr>
            <w:tcW w:w="3780" w:type="dxa"/>
          </w:tcPr>
          <w:p w14:paraId="6E14A7CE"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2976750F"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40759797" w14:textId="3EDA67A4" w:rsidR="00C717D7" w:rsidRPr="00DD5EE6" w:rsidRDefault="00C717D7" w:rsidP="00396BA3">
            <w:pPr>
              <w:tabs>
                <w:tab w:val="decimal" w:pos="1062"/>
              </w:tabs>
              <w:jc w:val="both"/>
              <w:rPr>
                <w:rFonts w:cs="Arial"/>
              </w:rPr>
            </w:pPr>
            <w:r w:rsidRPr="00DD5EE6">
              <w:rPr>
                <w:rFonts w:cs="Arial"/>
              </w:rPr>
              <w:t>0.1</w:t>
            </w:r>
            <w:r w:rsidR="00F32838" w:rsidRPr="00DD5EE6">
              <w:rPr>
                <w:rFonts w:cs="Arial"/>
              </w:rPr>
              <w:t>110</w:t>
            </w:r>
          </w:p>
        </w:tc>
      </w:tr>
      <w:tr w:rsidR="00C717D7" w:rsidRPr="00DD5EE6" w14:paraId="4FBB24C5" w14:textId="77777777" w:rsidTr="00396BA3">
        <w:trPr>
          <w:jc w:val="center"/>
        </w:trPr>
        <w:tc>
          <w:tcPr>
            <w:tcW w:w="3780" w:type="dxa"/>
          </w:tcPr>
          <w:p w14:paraId="52626EE9" w14:textId="77777777" w:rsidR="00C717D7" w:rsidRPr="00DD5EE6" w:rsidRDefault="00C717D7" w:rsidP="00396BA3">
            <w:pPr>
              <w:tabs>
                <w:tab w:val="left" w:pos="360"/>
              </w:tabs>
              <w:jc w:val="both"/>
              <w:rPr>
                <w:rFonts w:cs="Arial"/>
              </w:rPr>
            </w:pPr>
            <w:r w:rsidRPr="00DD5EE6">
              <w:rPr>
                <w:rFonts w:cs="Arial"/>
              </w:rPr>
              <w:tab/>
              <w:t>Winter</w:t>
            </w:r>
          </w:p>
        </w:tc>
        <w:tc>
          <w:tcPr>
            <w:tcW w:w="2160" w:type="dxa"/>
          </w:tcPr>
          <w:p w14:paraId="2545C7D3" w14:textId="77777777" w:rsidR="00C717D7" w:rsidRPr="00DD5EE6" w:rsidRDefault="00C717D7" w:rsidP="00396BA3">
            <w:pPr>
              <w:tabs>
                <w:tab w:val="decimal" w:pos="1062"/>
              </w:tabs>
              <w:jc w:val="both"/>
              <w:rPr>
                <w:rFonts w:cs="Arial"/>
              </w:rPr>
            </w:pPr>
          </w:p>
        </w:tc>
        <w:tc>
          <w:tcPr>
            <w:tcW w:w="2160" w:type="dxa"/>
          </w:tcPr>
          <w:p w14:paraId="010FA1B4" w14:textId="77777777" w:rsidR="00C717D7" w:rsidRPr="00DD5EE6" w:rsidRDefault="00C717D7" w:rsidP="00396BA3">
            <w:pPr>
              <w:tabs>
                <w:tab w:val="decimal" w:pos="1062"/>
              </w:tabs>
              <w:jc w:val="both"/>
              <w:rPr>
                <w:rFonts w:cs="Arial"/>
              </w:rPr>
            </w:pPr>
          </w:p>
        </w:tc>
      </w:tr>
      <w:tr w:rsidR="00C717D7" w:rsidRPr="00DD5EE6" w14:paraId="2615E31F" w14:textId="77777777" w:rsidTr="00396BA3">
        <w:trPr>
          <w:jc w:val="center"/>
        </w:trPr>
        <w:tc>
          <w:tcPr>
            <w:tcW w:w="3780" w:type="dxa"/>
          </w:tcPr>
          <w:p w14:paraId="597E841D"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First 750 kWh, per kWh</w:t>
            </w:r>
          </w:p>
        </w:tc>
        <w:tc>
          <w:tcPr>
            <w:tcW w:w="2160" w:type="dxa"/>
          </w:tcPr>
          <w:p w14:paraId="659F3D13" w14:textId="77777777" w:rsidR="00C717D7" w:rsidRPr="00DD5EE6" w:rsidRDefault="00C717D7" w:rsidP="00396BA3">
            <w:pPr>
              <w:tabs>
                <w:tab w:val="decimal" w:pos="1062"/>
              </w:tabs>
              <w:jc w:val="both"/>
              <w:rPr>
                <w:rFonts w:cs="Arial"/>
              </w:rPr>
            </w:pPr>
            <w:r w:rsidRPr="00DD5EE6">
              <w:rPr>
                <w:rFonts w:cs="Arial"/>
              </w:rPr>
              <w:t>0.1110</w:t>
            </w:r>
          </w:p>
        </w:tc>
        <w:tc>
          <w:tcPr>
            <w:tcW w:w="2160" w:type="dxa"/>
          </w:tcPr>
          <w:p w14:paraId="28F6FB5D" w14:textId="77777777" w:rsidR="00C717D7" w:rsidRPr="00DD5EE6" w:rsidRDefault="00C717D7" w:rsidP="00396BA3">
            <w:pPr>
              <w:tabs>
                <w:tab w:val="decimal" w:pos="1062"/>
              </w:tabs>
              <w:jc w:val="both"/>
              <w:rPr>
                <w:rFonts w:cs="Arial"/>
              </w:rPr>
            </w:pPr>
            <w:r w:rsidRPr="00DD5EE6">
              <w:rPr>
                <w:rFonts w:cs="Arial"/>
              </w:rPr>
              <w:t>0.1110</w:t>
            </w:r>
          </w:p>
        </w:tc>
      </w:tr>
      <w:tr w:rsidR="00C717D7" w:rsidRPr="00DD5EE6" w14:paraId="04FB3680" w14:textId="77777777" w:rsidTr="00396BA3">
        <w:trPr>
          <w:jc w:val="center"/>
        </w:trPr>
        <w:tc>
          <w:tcPr>
            <w:tcW w:w="3780" w:type="dxa"/>
          </w:tcPr>
          <w:p w14:paraId="30B6E8EA"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Next 1,750 kWh, per kWh</w:t>
            </w:r>
          </w:p>
        </w:tc>
        <w:tc>
          <w:tcPr>
            <w:tcW w:w="2160" w:type="dxa"/>
          </w:tcPr>
          <w:p w14:paraId="74122BE0" w14:textId="6550B9AB"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80</w:t>
            </w:r>
          </w:p>
        </w:tc>
        <w:tc>
          <w:tcPr>
            <w:tcW w:w="2160" w:type="dxa"/>
          </w:tcPr>
          <w:p w14:paraId="782A2C87" w14:textId="6849B507"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9</w:t>
            </w:r>
            <w:r w:rsidRPr="00DD5EE6">
              <w:rPr>
                <w:rFonts w:cs="Arial"/>
              </w:rPr>
              <w:t>0</w:t>
            </w:r>
          </w:p>
        </w:tc>
      </w:tr>
      <w:tr w:rsidR="00C717D7" w:rsidRPr="00DD5EE6" w14:paraId="750AA8A4" w14:textId="77777777" w:rsidTr="00396BA3">
        <w:trPr>
          <w:jc w:val="center"/>
        </w:trPr>
        <w:tc>
          <w:tcPr>
            <w:tcW w:w="3780" w:type="dxa"/>
          </w:tcPr>
          <w:p w14:paraId="34667EEE" w14:textId="77777777" w:rsidR="00C717D7" w:rsidRPr="00DD5EE6" w:rsidRDefault="00C717D7" w:rsidP="00396BA3">
            <w:pPr>
              <w:tabs>
                <w:tab w:val="left" w:pos="360"/>
              </w:tabs>
              <w:jc w:val="both"/>
              <w:rPr>
                <w:rFonts w:cs="Arial"/>
              </w:rPr>
            </w:pPr>
            <w:r w:rsidRPr="00DD5EE6">
              <w:rPr>
                <w:rFonts w:cs="Arial"/>
              </w:rPr>
              <w:tab/>
            </w:r>
            <w:r w:rsidRPr="00DD5EE6">
              <w:rPr>
                <w:rFonts w:cs="Arial"/>
              </w:rPr>
              <w:tab/>
              <w:t>Excess, per kWh</w:t>
            </w:r>
          </w:p>
        </w:tc>
        <w:tc>
          <w:tcPr>
            <w:tcW w:w="2160" w:type="dxa"/>
          </w:tcPr>
          <w:p w14:paraId="5B202D4D" w14:textId="55B4786D"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8</w:t>
            </w:r>
            <w:r w:rsidRPr="00DD5EE6">
              <w:rPr>
                <w:rFonts w:cs="Arial"/>
              </w:rPr>
              <w:t>0</w:t>
            </w:r>
          </w:p>
        </w:tc>
        <w:tc>
          <w:tcPr>
            <w:tcW w:w="2160" w:type="dxa"/>
          </w:tcPr>
          <w:p w14:paraId="7C76CFB1" w14:textId="6128B260" w:rsidR="00C717D7" w:rsidRPr="00DD5EE6" w:rsidRDefault="00C717D7" w:rsidP="00396BA3">
            <w:pPr>
              <w:tabs>
                <w:tab w:val="decimal" w:pos="1062"/>
              </w:tabs>
              <w:jc w:val="both"/>
              <w:rPr>
                <w:rFonts w:cs="Arial"/>
              </w:rPr>
            </w:pPr>
            <w:r w:rsidRPr="00DD5EE6">
              <w:rPr>
                <w:rFonts w:cs="Arial"/>
              </w:rPr>
              <w:t>0.06</w:t>
            </w:r>
            <w:r w:rsidR="00F32838" w:rsidRPr="00DD5EE6">
              <w:rPr>
                <w:rFonts w:cs="Arial"/>
              </w:rPr>
              <w:t>9</w:t>
            </w:r>
            <w:r w:rsidRPr="00DD5EE6">
              <w:rPr>
                <w:rFonts w:cs="Arial"/>
              </w:rPr>
              <w:t>0</w:t>
            </w:r>
          </w:p>
        </w:tc>
      </w:tr>
    </w:tbl>
    <w:p w14:paraId="34717459" w14:textId="77777777" w:rsidR="00C717D7" w:rsidRPr="00F41491" w:rsidRDefault="00C717D7" w:rsidP="00050109">
      <w:pPr>
        <w:tabs>
          <w:tab w:val="left" w:pos="720"/>
        </w:tabs>
        <w:ind w:left="720" w:hanging="720"/>
        <w:jc w:val="both"/>
        <w:rPr>
          <w:rFonts w:cs="Arial"/>
          <w:sz w:val="22"/>
          <w:szCs w:val="22"/>
        </w:rPr>
      </w:pPr>
    </w:p>
    <w:p w14:paraId="53D580FB" w14:textId="2EDD621F" w:rsidR="00F40A09" w:rsidRPr="00DD5EE6" w:rsidRDefault="00050109" w:rsidP="00050109">
      <w:pPr>
        <w:tabs>
          <w:tab w:val="left" w:pos="720"/>
        </w:tabs>
        <w:ind w:left="720" w:hanging="720"/>
        <w:jc w:val="both"/>
        <w:rPr>
          <w:rFonts w:cs="Arial"/>
        </w:rPr>
      </w:pPr>
      <w:r w:rsidRPr="00F41491">
        <w:rPr>
          <w:rFonts w:cs="Arial"/>
          <w:sz w:val="22"/>
          <w:szCs w:val="22"/>
        </w:rPr>
        <w:tab/>
      </w:r>
      <w:r w:rsidRPr="00DD5EE6">
        <w:rPr>
          <w:rFonts w:cs="Arial"/>
          <w:b/>
        </w:rPr>
        <w:t>Minimum Bill</w:t>
      </w:r>
      <w:r w:rsidRPr="00DD5EE6">
        <w:rPr>
          <w:rFonts w:cs="Arial"/>
        </w:rPr>
        <w:t>:  The sum of the Customer Charge and Energy Charge.</w:t>
      </w:r>
    </w:p>
    <w:p w14:paraId="59712896" w14:textId="45EE6107" w:rsidR="000B6D74" w:rsidRPr="00DD5EE6" w:rsidRDefault="000B6D74" w:rsidP="00050109">
      <w:pPr>
        <w:tabs>
          <w:tab w:val="left" w:pos="720"/>
        </w:tabs>
        <w:ind w:left="720" w:hanging="720"/>
        <w:jc w:val="both"/>
        <w:rPr>
          <w:rFonts w:cs="Arial"/>
        </w:rPr>
      </w:pPr>
    </w:p>
    <w:p w14:paraId="650D124C" w14:textId="01E1C869" w:rsidR="000B6D74" w:rsidRPr="00DD5EE6" w:rsidRDefault="000B6D74" w:rsidP="00DD5EE6">
      <w:pPr>
        <w:pStyle w:val="ListParagraph"/>
        <w:numPr>
          <w:ilvl w:val="0"/>
          <w:numId w:val="2"/>
        </w:numPr>
        <w:tabs>
          <w:tab w:val="left" w:pos="720"/>
        </w:tabs>
        <w:ind w:left="720" w:hanging="720"/>
        <w:jc w:val="both"/>
        <w:rPr>
          <w:rFonts w:cs="Arial"/>
          <w:b/>
          <w:bCs/>
        </w:rPr>
      </w:pPr>
      <w:r w:rsidRPr="00DD5EE6">
        <w:rPr>
          <w:rFonts w:cs="Arial"/>
          <w:b/>
          <w:bCs/>
        </w:rPr>
        <w:t>Electric Vehicle Charging</w:t>
      </w:r>
      <w:r w:rsidR="0002236F" w:rsidRPr="00DD5EE6">
        <w:rPr>
          <w:rFonts w:cs="Arial"/>
          <w:b/>
          <w:bCs/>
        </w:rPr>
        <w:t xml:space="preserve"> Station</w:t>
      </w:r>
    </w:p>
    <w:p w14:paraId="0F053161" w14:textId="7514C31D" w:rsidR="00050109" w:rsidRPr="00DD5EE6" w:rsidRDefault="00050109" w:rsidP="00050109">
      <w:pPr>
        <w:tabs>
          <w:tab w:val="left" w:pos="720"/>
        </w:tabs>
        <w:jc w:val="both"/>
        <w:rPr>
          <w:rFonts w:cs="Arial"/>
        </w:rPr>
      </w:pPr>
    </w:p>
    <w:p w14:paraId="01646596" w14:textId="35E183E7" w:rsidR="004A5CB4" w:rsidRPr="00DD5EE6" w:rsidRDefault="000B6D74" w:rsidP="000B6D74">
      <w:pPr>
        <w:tabs>
          <w:tab w:val="left" w:pos="720"/>
        </w:tabs>
        <w:ind w:left="720"/>
        <w:jc w:val="both"/>
        <w:rPr>
          <w:rFonts w:cs="Arial"/>
        </w:rPr>
      </w:pPr>
      <w:r w:rsidRPr="00DD5EE6">
        <w:rPr>
          <w:rFonts w:cs="Arial"/>
          <w:b/>
          <w:bCs/>
        </w:rPr>
        <w:t>Availability</w:t>
      </w:r>
      <w:r w:rsidRPr="00DD5EE6">
        <w:rPr>
          <w:rFonts w:cs="Arial"/>
        </w:rPr>
        <w:t xml:space="preserve">:  </w:t>
      </w:r>
      <w:r w:rsidR="0002236F" w:rsidRPr="00DD5EE6">
        <w:rPr>
          <w:rFonts w:cs="Arial"/>
        </w:rPr>
        <w:t xml:space="preserve">Service is available to </w:t>
      </w:r>
      <w:r w:rsidR="004A5CB4" w:rsidRPr="00DD5EE6">
        <w:rPr>
          <w:rFonts w:cs="Arial"/>
        </w:rPr>
        <w:t xml:space="preserve">non-residential </w:t>
      </w:r>
      <w:r w:rsidR="0002236F" w:rsidRPr="00DD5EE6">
        <w:rPr>
          <w:rFonts w:cs="Arial"/>
        </w:rPr>
        <w:t xml:space="preserve">customers </w:t>
      </w:r>
      <w:r w:rsidR="004A5CB4" w:rsidRPr="00DD5EE6">
        <w:rPr>
          <w:rFonts w:cs="Arial"/>
        </w:rPr>
        <w:t>for service only to electric vehicle loads</w:t>
      </w:r>
      <w:r w:rsidR="00C717D7" w:rsidRPr="00DD5EE6">
        <w:rPr>
          <w:rFonts w:cs="Arial"/>
        </w:rPr>
        <w:t>,</w:t>
      </w:r>
      <w:r w:rsidR="004A5CB4" w:rsidRPr="00DD5EE6">
        <w:rPr>
          <w:rFonts w:cs="Arial"/>
        </w:rPr>
        <w:t xml:space="preserve"> including battery charging and accessory usage</w:t>
      </w:r>
      <w:r w:rsidR="00C717D7" w:rsidRPr="00DD5EE6">
        <w:rPr>
          <w:rFonts w:cs="Arial"/>
        </w:rPr>
        <w:t>,</w:t>
      </w:r>
      <w:r w:rsidR="004A5CB4" w:rsidRPr="00DD5EE6">
        <w:rPr>
          <w:rFonts w:cs="Arial"/>
        </w:rPr>
        <w:t xml:space="preserve"> for the express purpose of providing public charging service to electric vehicles.  </w:t>
      </w:r>
    </w:p>
    <w:p w14:paraId="4CCC6033" w14:textId="77777777" w:rsidR="004A5CB4" w:rsidRPr="00DD5EE6" w:rsidRDefault="004A5CB4" w:rsidP="000B6D74">
      <w:pPr>
        <w:tabs>
          <w:tab w:val="left" w:pos="720"/>
        </w:tabs>
        <w:ind w:left="720"/>
        <w:jc w:val="both"/>
        <w:rPr>
          <w:rFonts w:cs="Arial"/>
        </w:rPr>
      </w:pPr>
    </w:p>
    <w:p w14:paraId="388E2BD8" w14:textId="7E4A51A2" w:rsidR="000B6D74" w:rsidRPr="00DD5EE6" w:rsidRDefault="004A5CB4" w:rsidP="000B6D74">
      <w:pPr>
        <w:tabs>
          <w:tab w:val="left" w:pos="720"/>
        </w:tabs>
        <w:ind w:left="720"/>
        <w:jc w:val="both"/>
        <w:rPr>
          <w:rFonts w:cs="Arial"/>
        </w:rPr>
      </w:pPr>
      <w:r w:rsidRPr="00DD5EE6">
        <w:rPr>
          <w:rFonts w:cs="Arial"/>
          <w:b/>
          <w:bCs/>
        </w:rPr>
        <w:t>Contract</w:t>
      </w:r>
      <w:r w:rsidRPr="00DD5EE6">
        <w:rPr>
          <w:rFonts w:cs="Arial"/>
        </w:rPr>
        <w:t xml:space="preserve">:  Customers must contract for this service through an agreement with the City.  </w:t>
      </w:r>
    </w:p>
    <w:p w14:paraId="35620BB5" w14:textId="7848CA82" w:rsidR="000B6D74" w:rsidRPr="00DD5EE6" w:rsidRDefault="000B6D74" w:rsidP="000B6D74">
      <w:pPr>
        <w:tabs>
          <w:tab w:val="left" w:pos="720"/>
        </w:tabs>
        <w:ind w:left="720"/>
        <w:jc w:val="both"/>
        <w:rPr>
          <w:rFonts w:cs="Arial"/>
        </w:rPr>
      </w:pPr>
    </w:p>
    <w:p w14:paraId="1B8DD111" w14:textId="50F543CC" w:rsidR="000B6D74" w:rsidRPr="00DD5EE6" w:rsidRDefault="000B6D74" w:rsidP="000B6D74">
      <w:pPr>
        <w:tabs>
          <w:tab w:val="left" w:pos="720"/>
        </w:tabs>
        <w:ind w:left="720"/>
        <w:jc w:val="both"/>
        <w:rPr>
          <w:rFonts w:cs="Arial"/>
        </w:rPr>
      </w:pPr>
      <w:r w:rsidRPr="00DD5EE6">
        <w:rPr>
          <w:rFonts w:cs="Arial"/>
          <w:b/>
          <w:bCs/>
        </w:rPr>
        <w:t>Character of Service</w:t>
      </w:r>
      <w:r w:rsidRPr="00DD5EE6">
        <w:rPr>
          <w:rFonts w:cs="Arial"/>
        </w:rPr>
        <w:t xml:space="preserve">:  </w:t>
      </w:r>
      <w:r w:rsidR="004A5CB4" w:rsidRPr="00DD5EE6">
        <w:rPr>
          <w:rFonts w:cs="Arial"/>
        </w:rPr>
        <w:t>AC, 60 Hertz, single phase or three phase, at any of the City’s standard voltages where the service may be supplied by a single power transformation.</w:t>
      </w:r>
      <w:r w:rsidRPr="00DD5EE6">
        <w:rPr>
          <w:rFonts w:cs="Arial"/>
        </w:rPr>
        <w:t xml:space="preserve"> </w:t>
      </w:r>
    </w:p>
    <w:p w14:paraId="40234799" w14:textId="059A5577" w:rsidR="000B6D74" w:rsidRPr="00DD5EE6" w:rsidRDefault="000B6D74" w:rsidP="000B6D74">
      <w:pPr>
        <w:tabs>
          <w:tab w:val="left" w:pos="720"/>
        </w:tabs>
        <w:ind w:left="720"/>
        <w:jc w:val="both"/>
        <w:rPr>
          <w:rFonts w:cs="Arial"/>
        </w:rPr>
      </w:pPr>
    </w:p>
    <w:p w14:paraId="0CCD5721" w14:textId="3DB5BAAE" w:rsidR="000B6D74" w:rsidRPr="00DD5EE6" w:rsidRDefault="000B6D74" w:rsidP="000B6D74">
      <w:pPr>
        <w:tabs>
          <w:tab w:val="left" w:pos="720"/>
        </w:tabs>
        <w:ind w:left="720"/>
        <w:jc w:val="both"/>
        <w:rPr>
          <w:rFonts w:cs="Arial"/>
        </w:rPr>
      </w:pPr>
      <w:r w:rsidRPr="00DD5EE6">
        <w:rPr>
          <w:rFonts w:cs="Arial"/>
          <w:b/>
          <w:bCs/>
        </w:rPr>
        <w:t>Rate</w:t>
      </w:r>
      <w:r w:rsidR="00C717D7" w:rsidRPr="00DD5EE6">
        <w:rPr>
          <w:rFonts w:cs="Arial"/>
          <w:b/>
          <w:bCs/>
        </w:rPr>
        <w:t>s</w:t>
      </w:r>
      <w:r w:rsidRPr="00DD5EE6">
        <w:rPr>
          <w:rFonts w:cs="Arial"/>
        </w:rPr>
        <w:t xml:space="preserve">:  </w:t>
      </w:r>
    </w:p>
    <w:p w14:paraId="783A2D3C" w14:textId="154DFF43" w:rsidR="000B6D74" w:rsidRDefault="000B6D74" w:rsidP="000B6D74">
      <w:pPr>
        <w:tabs>
          <w:tab w:val="left" w:pos="720"/>
        </w:tabs>
        <w:ind w:left="720"/>
        <w:jc w:val="both"/>
        <w:rPr>
          <w:rFonts w:cs="Arial"/>
          <w:sz w:val="22"/>
          <w:szCs w:val="22"/>
        </w:rPr>
      </w:pPr>
    </w:p>
    <w:tbl>
      <w:tblPr>
        <w:tblStyle w:val="TableGrid"/>
        <w:tblW w:w="8180" w:type="dxa"/>
        <w:tblInd w:w="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250"/>
        <w:gridCol w:w="2250"/>
      </w:tblGrid>
      <w:tr w:rsidR="00C717D7" w:rsidRPr="00DD5EE6" w14:paraId="52F53F94" w14:textId="395EDAF4" w:rsidTr="00855F74">
        <w:tc>
          <w:tcPr>
            <w:tcW w:w="3680" w:type="dxa"/>
          </w:tcPr>
          <w:p w14:paraId="4C792C4A" w14:textId="4BB3D2B8" w:rsidR="00C717D7" w:rsidRPr="00DD5EE6" w:rsidRDefault="00C717D7" w:rsidP="00C717D7">
            <w:pPr>
              <w:tabs>
                <w:tab w:val="left" w:pos="360"/>
              </w:tabs>
              <w:jc w:val="both"/>
              <w:rPr>
                <w:rFonts w:cs="Arial"/>
                <w:b/>
              </w:rPr>
            </w:pPr>
            <w:r w:rsidRPr="00DD5EE6">
              <w:rPr>
                <w:rFonts w:cs="Arial"/>
                <w:b/>
              </w:rPr>
              <w:t>Effective for all billings after:</w:t>
            </w:r>
          </w:p>
        </w:tc>
        <w:tc>
          <w:tcPr>
            <w:tcW w:w="2250" w:type="dxa"/>
          </w:tcPr>
          <w:p w14:paraId="5FA4DE69" w14:textId="5AB307A8" w:rsidR="00C717D7" w:rsidRPr="00DD5EE6" w:rsidRDefault="00C717D7" w:rsidP="00C717D7">
            <w:pPr>
              <w:pStyle w:val="Heading3"/>
            </w:pPr>
            <w:r w:rsidRPr="00DD5EE6">
              <w:t>January 15, 2022</w:t>
            </w:r>
          </w:p>
        </w:tc>
        <w:tc>
          <w:tcPr>
            <w:tcW w:w="2250" w:type="dxa"/>
          </w:tcPr>
          <w:p w14:paraId="260652C7" w14:textId="516B2BAD" w:rsidR="00C717D7" w:rsidRPr="00DD5EE6" w:rsidRDefault="00C717D7" w:rsidP="00C717D7">
            <w:pPr>
              <w:pStyle w:val="Heading3"/>
            </w:pPr>
            <w:r w:rsidRPr="00DD5EE6">
              <w:t>January 15, 2023</w:t>
            </w:r>
          </w:p>
        </w:tc>
      </w:tr>
      <w:tr w:rsidR="00C717D7" w:rsidRPr="00DD5EE6" w14:paraId="6AD75141" w14:textId="0A67EA4A" w:rsidTr="00855F74">
        <w:tc>
          <w:tcPr>
            <w:tcW w:w="3680" w:type="dxa"/>
          </w:tcPr>
          <w:p w14:paraId="2594FE03" w14:textId="77777777" w:rsidR="00C717D7" w:rsidRPr="00DD5EE6" w:rsidRDefault="00C717D7" w:rsidP="00DD5EE6">
            <w:pPr>
              <w:pStyle w:val="Heading5"/>
              <w:rPr>
                <w:sz w:val="24"/>
                <w:szCs w:val="24"/>
              </w:rPr>
            </w:pPr>
            <w:r w:rsidRPr="00DD5EE6">
              <w:rPr>
                <w:sz w:val="24"/>
                <w:szCs w:val="24"/>
              </w:rPr>
              <w:t>Customer Charge, per month</w:t>
            </w:r>
          </w:p>
        </w:tc>
        <w:tc>
          <w:tcPr>
            <w:tcW w:w="2250" w:type="dxa"/>
          </w:tcPr>
          <w:p w14:paraId="5FE18C7C" w14:textId="30B59415" w:rsidR="00C717D7" w:rsidRPr="00DD5EE6" w:rsidRDefault="00C717D7" w:rsidP="00855F74">
            <w:pPr>
              <w:tabs>
                <w:tab w:val="decimal" w:pos="1156"/>
              </w:tabs>
              <w:jc w:val="both"/>
              <w:rPr>
                <w:rFonts w:cs="Arial"/>
              </w:rPr>
            </w:pPr>
            <w:r w:rsidRPr="00DD5EE6">
              <w:rPr>
                <w:rFonts w:cs="Arial"/>
              </w:rPr>
              <w:t>$125.00</w:t>
            </w:r>
          </w:p>
        </w:tc>
        <w:tc>
          <w:tcPr>
            <w:tcW w:w="2250" w:type="dxa"/>
          </w:tcPr>
          <w:p w14:paraId="7D2B869D" w14:textId="4F2C0B23" w:rsidR="00C717D7" w:rsidRPr="00DD5EE6" w:rsidRDefault="00C717D7" w:rsidP="00855F74">
            <w:pPr>
              <w:tabs>
                <w:tab w:val="decimal" w:pos="1065"/>
              </w:tabs>
              <w:jc w:val="both"/>
              <w:rPr>
                <w:rFonts w:cs="Arial"/>
              </w:rPr>
            </w:pPr>
            <w:r w:rsidRPr="00DD5EE6">
              <w:rPr>
                <w:rFonts w:cs="Arial"/>
              </w:rPr>
              <w:t>$125.00</w:t>
            </w:r>
          </w:p>
        </w:tc>
      </w:tr>
      <w:tr w:rsidR="00C717D7" w:rsidRPr="00DD5EE6" w14:paraId="14558B24" w14:textId="75A0653E" w:rsidTr="00855F74">
        <w:tc>
          <w:tcPr>
            <w:tcW w:w="3680" w:type="dxa"/>
          </w:tcPr>
          <w:p w14:paraId="61550D24" w14:textId="0C6806DB" w:rsidR="00C717D7" w:rsidRPr="00DD5EE6" w:rsidRDefault="00C717D7" w:rsidP="00DD5EE6">
            <w:pPr>
              <w:pStyle w:val="Heading5"/>
              <w:jc w:val="left"/>
              <w:rPr>
                <w:sz w:val="24"/>
                <w:szCs w:val="24"/>
              </w:rPr>
            </w:pPr>
            <w:r w:rsidRPr="00DD5EE6">
              <w:rPr>
                <w:sz w:val="24"/>
                <w:szCs w:val="24"/>
              </w:rPr>
              <w:t>Energy Charge, per kWh</w:t>
            </w:r>
          </w:p>
        </w:tc>
        <w:tc>
          <w:tcPr>
            <w:tcW w:w="2250" w:type="dxa"/>
          </w:tcPr>
          <w:p w14:paraId="16E618E3" w14:textId="76A7706F" w:rsidR="00C717D7" w:rsidRPr="00DD5EE6" w:rsidRDefault="00C717D7" w:rsidP="00855F74">
            <w:pPr>
              <w:tabs>
                <w:tab w:val="decimal" w:pos="1156"/>
              </w:tabs>
              <w:jc w:val="both"/>
              <w:rPr>
                <w:rFonts w:cs="Arial"/>
              </w:rPr>
            </w:pPr>
            <w:r w:rsidRPr="00DD5EE6">
              <w:rPr>
                <w:rFonts w:cs="Arial"/>
              </w:rPr>
              <w:t>0.1300</w:t>
            </w:r>
          </w:p>
        </w:tc>
        <w:tc>
          <w:tcPr>
            <w:tcW w:w="2250" w:type="dxa"/>
          </w:tcPr>
          <w:p w14:paraId="46627833" w14:textId="67B4233E" w:rsidR="00C717D7" w:rsidRPr="00DD5EE6" w:rsidRDefault="00C717D7" w:rsidP="00855F74">
            <w:pPr>
              <w:tabs>
                <w:tab w:val="decimal" w:pos="1065"/>
              </w:tabs>
              <w:jc w:val="both"/>
              <w:rPr>
                <w:rFonts w:cs="Arial"/>
              </w:rPr>
            </w:pPr>
            <w:r w:rsidRPr="00DD5EE6">
              <w:rPr>
                <w:rFonts w:cs="Arial"/>
              </w:rPr>
              <w:t>0.1300</w:t>
            </w:r>
          </w:p>
        </w:tc>
      </w:tr>
    </w:tbl>
    <w:p w14:paraId="6C465D11" w14:textId="213DB84D" w:rsidR="000B6D74" w:rsidRDefault="000B6D74" w:rsidP="000B6D74">
      <w:pPr>
        <w:tabs>
          <w:tab w:val="left" w:pos="720"/>
        </w:tabs>
        <w:ind w:left="720"/>
        <w:jc w:val="both"/>
        <w:rPr>
          <w:rFonts w:cs="Arial"/>
          <w:sz w:val="22"/>
          <w:szCs w:val="22"/>
        </w:rPr>
      </w:pPr>
    </w:p>
    <w:p w14:paraId="57D41692" w14:textId="3B2FBC28" w:rsidR="000B6D74" w:rsidRDefault="004A5CB4" w:rsidP="00DD5EE6">
      <w:pPr>
        <w:tabs>
          <w:tab w:val="left" w:pos="720"/>
        </w:tabs>
        <w:ind w:left="720"/>
        <w:jc w:val="both"/>
        <w:rPr>
          <w:rFonts w:cs="Arial"/>
        </w:rPr>
      </w:pPr>
      <w:r w:rsidRPr="00DD5EE6">
        <w:rPr>
          <w:rFonts w:cs="Arial"/>
          <w:b/>
          <w:bCs/>
        </w:rPr>
        <w:t>Minimum Bill</w:t>
      </w:r>
      <w:r w:rsidRPr="00DD5EE6">
        <w:rPr>
          <w:rFonts w:cs="Arial"/>
        </w:rPr>
        <w:t>:  The sum of the Customer Charge and Energy Charge.</w:t>
      </w:r>
    </w:p>
    <w:p w14:paraId="2EBC5009" w14:textId="0891BCB8" w:rsidR="008F543A" w:rsidRPr="00DD5EE6" w:rsidRDefault="00071BC3" w:rsidP="00071BC3">
      <w:pPr>
        <w:tabs>
          <w:tab w:val="left" w:pos="720"/>
        </w:tabs>
        <w:jc w:val="both"/>
        <w:rPr>
          <w:rFonts w:cs="Arial"/>
        </w:rPr>
      </w:pPr>
      <w:r w:rsidRPr="00DD5EE6">
        <w:rPr>
          <w:rFonts w:cs="Arial"/>
          <w:b/>
        </w:rPr>
        <w:lastRenderedPageBreak/>
        <w:tab/>
      </w:r>
      <w:r w:rsidR="00597717" w:rsidRPr="00DD5EE6">
        <w:rPr>
          <w:rFonts w:cs="Arial"/>
          <w:b/>
        </w:rPr>
        <w:t>Section 2</w:t>
      </w:r>
      <w:r w:rsidR="00597717" w:rsidRPr="00DD5EE6">
        <w:rPr>
          <w:rFonts w:cs="Arial"/>
        </w:rPr>
        <w:t xml:space="preserve">:  </w:t>
      </w:r>
      <w:r w:rsidR="008F543A" w:rsidRPr="00DD5EE6">
        <w:rPr>
          <w:rFonts w:cs="Arial"/>
          <w:b/>
        </w:rPr>
        <w:t>Municipal Uses</w:t>
      </w:r>
      <w:r w:rsidR="008F543A" w:rsidRPr="00DD5EE6">
        <w:rPr>
          <w:rFonts w:cs="Arial"/>
        </w:rPr>
        <w:t>.  Service to the City shall be measured and bills shall be rendered to the various departments of said City and shall be collected and paid for in accordance with the above rates.</w:t>
      </w:r>
    </w:p>
    <w:p w14:paraId="5A0199D0" w14:textId="77777777" w:rsidR="00861C74" w:rsidRPr="00DD5EE6" w:rsidRDefault="00861C74" w:rsidP="00071BC3">
      <w:pPr>
        <w:tabs>
          <w:tab w:val="left" w:pos="720"/>
        </w:tabs>
        <w:jc w:val="both"/>
        <w:rPr>
          <w:rFonts w:cs="Arial"/>
        </w:rPr>
      </w:pPr>
    </w:p>
    <w:p w14:paraId="2C410BF3" w14:textId="4CB41090" w:rsidR="004A379C" w:rsidRPr="00DD5EE6" w:rsidRDefault="008F543A" w:rsidP="00071BC3">
      <w:pPr>
        <w:tabs>
          <w:tab w:val="left" w:pos="720"/>
        </w:tabs>
        <w:jc w:val="both"/>
        <w:rPr>
          <w:rFonts w:cs="Arial"/>
        </w:rPr>
      </w:pPr>
      <w:r w:rsidRPr="00DD5EE6">
        <w:rPr>
          <w:rFonts w:cs="Arial"/>
        </w:rPr>
        <w:tab/>
      </w:r>
      <w:r w:rsidR="004A379C" w:rsidRPr="00DD5EE6">
        <w:rPr>
          <w:rFonts w:cs="Arial"/>
          <w:b/>
        </w:rPr>
        <w:t xml:space="preserve">Section </w:t>
      </w:r>
      <w:r w:rsidR="007E1AE7" w:rsidRPr="00DD5EE6">
        <w:rPr>
          <w:rFonts w:cs="Arial"/>
          <w:b/>
        </w:rPr>
        <w:t>3</w:t>
      </w:r>
      <w:r w:rsidR="004A379C" w:rsidRPr="00DD5EE6">
        <w:rPr>
          <w:rFonts w:cs="Arial"/>
          <w:b/>
        </w:rPr>
        <w:t>:  Fuel Adjustment</w:t>
      </w:r>
      <w:r w:rsidR="004A379C" w:rsidRPr="00DD5EE6">
        <w:rPr>
          <w:rFonts w:cs="Arial"/>
        </w:rPr>
        <w:t xml:space="preserve">.  The City </w:t>
      </w:r>
      <w:r w:rsidR="00A22090">
        <w:rPr>
          <w:rFonts w:cs="Arial"/>
        </w:rPr>
        <w:t xml:space="preserve">may be </w:t>
      </w:r>
      <w:r w:rsidR="004A379C" w:rsidRPr="00DD5EE6">
        <w:rPr>
          <w:rFonts w:cs="Arial"/>
        </w:rPr>
        <w:t xml:space="preserve">charged a fuel adjustment rate by the wholesale supplier and reserves the right to pass the cost along to its </w:t>
      </w:r>
      <w:r w:rsidRPr="00DD5EE6">
        <w:rPr>
          <w:rFonts w:cs="Arial"/>
        </w:rPr>
        <w:t>residential and commercial consumers.  The City also expressly reserves the right to change and amend these rules and regulations as may, from time to time, be advisable.</w:t>
      </w:r>
    </w:p>
    <w:p w14:paraId="43CFC82F" w14:textId="64C37929" w:rsidR="000B6D74" w:rsidRPr="00DD5EE6" w:rsidRDefault="000B6D74" w:rsidP="00071BC3">
      <w:pPr>
        <w:tabs>
          <w:tab w:val="left" w:pos="720"/>
        </w:tabs>
        <w:jc w:val="both"/>
        <w:rPr>
          <w:rFonts w:cs="Arial"/>
        </w:rPr>
      </w:pPr>
    </w:p>
    <w:p w14:paraId="585635FB" w14:textId="025534B9" w:rsidR="004A5CB4" w:rsidRPr="00DD5EE6" w:rsidRDefault="000B6D74" w:rsidP="004B6D39">
      <w:pPr>
        <w:tabs>
          <w:tab w:val="left" w:pos="720"/>
        </w:tabs>
        <w:jc w:val="both"/>
        <w:rPr>
          <w:rFonts w:cs="Arial"/>
        </w:rPr>
      </w:pPr>
      <w:r w:rsidRPr="00DD5EE6">
        <w:rPr>
          <w:rFonts w:cs="Arial"/>
        </w:rPr>
        <w:tab/>
      </w:r>
      <w:r w:rsidR="004A5CB4" w:rsidRPr="00DD5EE6">
        <w:rPr>
          <w:rFonts w:cs="Arial"/>
          <w:b/>
          <w:bCs/>
        </w:rPr>
        <w:t xml:space="preserve">Section 4.  </w:t>
      </w:r>
      <w:r w:rsidR="007A5795" w:rsidRPr="00DD5EE6">
        <w:rPr>
          <w:rFonts w:cs="Arial"/>
          <w:b/>
          <w:bCs/>
        </w:rPr>
        <w:t>Meter Reading and Billing</w:t>
      </w:r>
      <w:r w:rsidR="00A22090">
        <w:rPr>
          <w:rFonts w:cs="Arial"/>
          <w:b/>
          <w:bCs/>
        </w:rPr>
        <w:t xml:space="preserve"> Cycles</w:t>
      </w:r>
      <w:r w:rsidR="004A5CB4" w:rsidRPr="00DD5EE6">
        <w:rPr>
          <w:rFonts w:cs="Arial"/>
        </w:rPr>
        <w:t xml:space="preserve">.  </w:t>
      </w:r>
      <w:r w:rsidR="007A5795" w:rsidRPr="00DD5EE6">
        <w:rPr>
          <w:rFonts w:cs="Arial"/>
        </w:rPr>
        <w:t xml:space="preserve">Meters </w:t>
      </w:r>
      <w:r w:rsidR="00A22090">
        <w:rPr>
          <w:rFonts w:cs="Arial"/>
        </w:rPr>
        <w:t xml:space="preserve">will typically be </w:t>
      </w:r>
      <w:r w:rsidR="007A5795" w:rsidRPr="00DD5EE6">
        <w:rPr>
          <w:rFonts w:cs="Arial"/>
        </w:rPr>
        <w:t xml:space="preserve">read on </w:t>
      </w:r>
      <w:r w:rsidR="00A22090">
        <w:rPr>
          <w:rFonts w:cs="Arial"/>
        </w:rPr>
        <w:t xml:space="preserve">or about </w:t>
      </w:r>
      <w:r w:rsidR="007A5795" w:rsidRPr="00DD5EE6">
        <w:rPr>
          <w:rFonts w:cs="Arial"/>
        </w:rPr>
        <w:t>the 15</w:t>
      </w:r>
      <w:r w:rsidR="007A5795" w:rsidRPr="00DD5EE6">
        <w:rPr>
          <w:rFonts w:cs="Arial"/>
          <w:vertAlign w:val="superscript"/>
        </w:rPr>
        <w:t>th</w:t>
      </w:r>
      <w:r w:rsidR="007A5795" w:rsidRPr="00DD5EE6">
        <w:rPr>
          <w:rFonts w:cs="Arial"/>
        </w:rPr>
        <w:t xml:space="preserve"> of each month</w:t>
      </w:r>
      <w:r w:rsidR="00A22090">
        <w:rPr>
          <w:rFonts w:cs="Arial"/>
        </w:rPr>
        <w:t xml:space="preserve">. Bills will typically be sent to customers </w:t>
      </w:r>
      <w:r w:rsidR="007A5795" w:rsidRPr="00DD5EE6">
        <w:rPr>
          <w:rFonts w:cs="Arial"/>
        </w:rPr>
        <w:t xml:space="preserve">on </w:t>
      </w:r>
      <w:r w:rsidR="00A22090">
        <w:rPr>
          <w:rFonts w:cs="Arial"/>
        </w:rPr>
        <w:t xml:space="preserve">or about </w:t>
      </w:r>
      <w:r w:rsidR="007A5795" w:rsidRPr="00DD5EE6">
        <w:rPr>
          <w:rFonts w:cs="Arial"/>
        </w:rPr>
        <w:t>the 1</w:t>
      </w:r>
      <w:r w:rsidR="007A5795" w:rsidRPr="00DD5EE6">
        <w:rPr>
          <w:rFonts w:cs="Arial"/>
          <w:vertAlign w:val="superscript"/>
        </w:rPr>
        <w:t>st</w:t>
      </w:r>
      <w:r w:rsidR="007A5795" w:rsidRPr="00DD5EE6">
        <w:rPr>
          <w:rFonts w:cs="Arial"/>
        </w:rPr>
        <w:t xml:space="preserve"> of the next month.</w:t>
      </w:r>
    </w:p>
    <w:p w14:paraId="4F2DC658" w14:textId="77777777" w:rsidR="004A5CB4" w:rsidRPr="00DD5EE6" w:rsidRDefault="004A5CB4" w:rsidP="004B6D39">
      <w:pPr>
        <w:tabs>
          <w:tab w:val="left" w:pos="720"/>
        </w:tabs>
        <w:jc w:val="both"/>
        <w:rPr>
          <w:rFonts w:cs="Arial"/>
        </w:rPr>
      </w:pPr>
    </w:p>
    <w:p w14:paraId="5DC6740B" w14:textId="61C9406B" w:rsidR="004B6D39" w:rsidRPr="00DD5EE6" w:rsidRDefault="004A5CB4" w:rsidP="004B6D39">
      <w:pPr>
        <w:tabs>
          <w:tab w:val="left" w:pos="720"/>
        </w:tabs>
        <w:jc w:val="both"/>
        <w:rPr>
          <w:rFonts w:cs="Arial"/>
        </w:rPr>
      </w:pPr>
      <w:r w:rsidRPr="00DD5EE6">
        <w:rPr>
          <w:rFonts w:cs="Arial"/>
        </w:rPr>
        <w:tab/>
      </w:r>
      <w:r w:rsidR="000B6D74" w:rsidRPr="00DD5EE6">
        <w:rPr>
          <w:rFonts w:cs="Arial"/>
          <w:b/>
          <w:bCs/>
        </w:rPr>
        <w:t xml:space="preserve">Section </w:t>
      </w:r>
      <w:r w:rsidRPr="00DD5EE6">
        <w:rPr>
          <w:rFonts w:cs="Arial"/>
          <w:b/>
          <w:bCs/>
        </w:rPr>
        <w:t>5</w:t>
      </w:r>
      <w:r w:rsidR="000B6D74" w:rsidRPr="00DD5EE6">
        <w:rPr>
          <w:rFonts w:cs="Arial"/>
          <w:b/>
          <w:bCs/>
        </w:rPr>
        <w:t>:  Budget Billing</w:t>
      </w:r>
      <w:r w:rsidR="000B6D74" w:rsidRPr="00DD5EE6">
        <w:rPr>
          <w:rFonts w:cs="Arial"/>
        </w:rPr>
        <w:t xml:space="preserve">.  </w:t>
      </w:r>
    </w:p>
    <w:p w14:paraId="52B2DAFD" w14:textId="77777777" w:rsidR="004B6D39" w:rsidRPr="00DD5EE6" w:rsidRDefault="004B6D39" w:rsidP="004B6D39">
      <w:pPr>
        <w:tabs>
          <w:tab w:val="left" w:pos="720"/>
        </w:tabs>
        <w:jc w:val="both"/>
        <w:rPr>
          <w:rFonts w:cs="Arial"/>
        </w:rPr>
      </w:pPr>
    </w:p>
    <w:p w14:paraId="77BAC233" w14:textId="77777777" w:rsidR="004B6D39" w:rsidRPr="00DD5EE6" w:rsidRDefault="004B6D39" w:rsidP="004B6D39">
      <w:pPr>
        <w:tabs>
          <w:tab w:val="left" w:pos="720"/>
        </w:tabs>
        <w:jc w:val="both"/>
        <w:rPr>
          <w:rFonts w:cs="Arial"/>
        </w:rPr>
      </w:pPr>
      <w:r w:rsidRPr="00DD5EE6">
        <w:rPr>
          <w:rFonts w:cs="Arial"/>
        </w:rPr>
        <w:tab/>
      </w:r>
      <w:r w:rsidRPr="00DD5EE6">
        <w:rPr>
          <w:rFonts w:cs="Arial"/>
          <w:u w:val="single"/>
        </w:rPr>
        <w:t>Qualifications</w:t>
      </w:r>
      <w:r w:rsidRPr="00DD5EE6">
        <w:rPr>
          <w:rFonts w:cs="Arial"/>
        </w:rPr>
        <w:t xml:space="preserve">:  </w:t>
      </w:r>
    </w:p>
    <w:p w14:paraId="1001C882" w14:textId="48048296" w:rsidR="004B6D39" w:rsidRPr="00DD5EE6" w:rsidRDefault="004B6D39" w:rsidP="00DD5EE6">
      <w:pPr>
        <w:pStyle w:val="m2401158280442057269msonospacing"/>
        <w:numPr>
          <w:ilvl w:val="0"/>
          <w:numId w:val="23"/>
        </w:numPr>
        <w:shd w:val="clear" w:color="auto" w:fill="FFFFFF"/>
        <w:spacing w:before="0" w:beforeAutospacing="0" w:after="0" w:afterAutospacing="0"/>
        <w:jc w:val="both"/>
        <w:rPr>
          <w:rFonts w:cs="Arial"/>
          <w:color w:val="222222"/>
        </w:rPr>
      </w:pPr>
      <w:r w:rsidRPr="00DD5EE6">
        <w:rPr>
          <w:rFonts w:cs="Arial"/>
          <w:color w:val="222222"/>
        </w:rPr>
        <w:t xml:space="preserve">Customer must have a good payment history of at least </w:t>
      </w:r>
      <w:r w:rsidR="00AF39AB" w:rsidRPr="00DD5EE6">
        <w:rPr>
          <w:rFonts w:cs="Arial"/>
          <w:color w:val="222222"/>
        </w:rPr>
        <w:t xml:space="preserve">12 </w:t>
      </w:r>
      <w:r w:rsidRPr="00DD5EE6">
        <w:rPr>
          <w:rFonts w:cs="Arial"/>
          <w:color w:val="222222"/>
        </w:rPr>
        <w:t>months at the service location (no delinquents).</w:t>
      </w:r>
    </w:p>
    <w:p w14:paraId="2F75E923" w14:textId="0547B7BA" w:rsidR="004B6D39" w:rsidRPr="00DD5EE6" w:rsidRDefault="004B6D39" w:rsidP="00DD5EE6">
      <w:pPr>
        <w:pStyle w:val="m2401158280442057269msonospacing"/>
        <w:numPr>
          <w:ilvl w:val="0"/>
          <w:numId w:val="23"/>
        </w:numPr>
        <w:shd w:val="clear" w:color="auto" w:fill="FFFFFF"/>
        <w:spacing w:before="0" w:beforeAutospacing="0" w:after="0" w:afterAutospacing="0"/>
        <w:jc w:val="both"/>
        <w:rPr>
          <w:rFonts w:cs="Arial"/>
          <w:color w:val="222222"/>
        </w:rPr>
      </w:pPr>
      <w:r w:rsidRPr="00DD5EE6">
        <w:rPr>
          <w:rFonts w:cs="Arial"/>
          <w:color w:val="222222"/>
        </w:rPr>
        <w:t xml:space="preserve">The </w:t>
      </w:r>
      <w:r w:rsidR="00AF39AB" w:rsidRPr="00DD5EE6">
        <w:rPr>
          <w:rFonts w:cs="Arial"/>
          <w:color w:val="222222"/>
        </w:rPr>
        <w:t xml:space="preserve">customer’s </w:t>
      </w:r>
      <w:r w:rsidRPr="00DD5EE6">
        <w:rPr>
          <w:rFonts w:cs="Arial"/>
          <w:color w:val="222222"/>
        </w:rPr>
        <w:t>account must have a zero balance by December 16</w:t>
      </w:r>
      <w:r w:rsidRPr="00DD5EE6">
        <w:rPr>
          <w:rFonts w:cs="Arial"/>
          <w:color w:val="222222"/>
          <w:vertAlign w:val="superscript"/>
        </w:rPr>
        <w:t>th</w:t>
      </w:r>
      <w:r w:rsidR="00AF39AB" w:rsidRPr="00DD5EE6">
        <w:rPr>
          <w:rFonts w:cs="Arial"/>
          <w:color w:val="222222"/>
        </w:rPr>
        <w:t xml:space="preserve"> of each year</w:t>
      </w:r>
      <w:r w:rsidRPr="00DD5EE6">
        <w:rPr>
          <w:rFonts w:cs="Arial"/>
          <w:color w:val="222222"/>
        </w:rPr>
        <w:t>.</w:t>
      </w:r>
    </w:p>
    <w:p w14:paraId="597DA93F" w14:textId="4EB5843E" w:rsidR="004B6D39" w:rsidRPr="00DD5EE6" w:rsidRDefault="004B6D39" w:rsidP="00DD5EE6">
      <w:pPr>
        <w:pStyle w:val="m2401158280442057269msonospacing"/>
        <w:numPr>
          <w:ilvl w:val="0"/>
          <w:numId w:val="23"/>
        </w:numPr>
        <w:shd w:val="clear" w:color="auto" w:fill="FFFFFF"/>
        <w:spacing w:before="0" w:beforeAutospacing="0" w:after="0" w:afterAutospacing="0"/>
        <w:jc w:val="both"/>
        <w:rPr>
          <w:rFonts w:cs="Arial"/>
          <w:color w:val="222222"/>
        </w:rPr>
      </w:pPr>
      <w:r w:rsidRPr="00DD5EE6">
        <w:rPr>
          <w:rFonts w:cs="Arial"/>
          <w:color w:val="222222"/>
        </w:rPr>
        <w:t xml:space="preserve">Customer must sign </w:t>
      </w:r>
      <w:r w:rsidR="00AF39AB" w:rsidRPr="00DD5EE6">
        <w:rPr>
          <w:rFonts w:cs="Arial"/>
          <w:color w:val="222222"/>
        </w:rPr>
        <w:t xml:space="preserve">budget billing </w:t>
      </w:r>
      <w:r w:rsidRPr="00DD5EE6">
        <w:rPr>
          <w:rFonts w:cs="Arial"/>
          <w:color w:val="222222"/>
        </w:rPr>
        <w:t>agreement each year.</w:t>
      </w:r>
    </w:p>
    <w:p w14:paraId="44D2C54E" w14:textId="77777777" w:rsidR="004B6D39" w:rsidRPr="00DD5EE6" w:rsidRDefault="004B6D39" w:rsidP="00DD5EE6">
      <w:pPr>
        <w:pStyle w:val="m2401158280442057269msonospacing"/>
        <w:shd w:val="clear" w:color="auto" w:fill="FFFFFF"/>
        <w:spacing w:before="0" w:beforeAutospacing="0" w:after="0" w:afterAutospacing="0"/>
        <w:jc w:val="both"/>
        <w:rPr>
          <w:rFonts w:cs="Arial"/>
          <w:color w:val="222222"/>
        </w:rPr>
      </w:pPr>
      <w:r w:rsidRPr="00DD5EE6">
        <w:rPr>
          <w:rFonts w:cs="Arial"/>
          <w:color w:val="222222"/>
        </w:rPr>
        <w:t> </w:t>
      </w:r>
    </w:p>
    <w:p w14:paraId="64E81EFF" w14:textId="017F39A1" w:rsidR="004B6D39" w:rsidRPr="00DD5EE6" w:rsidRDefault="00A22090" w:rsidP="00DD5EE6">
      <w:pPr>
        <w:pStyle w:val="m2401158280442057269msonospacing"/>
        <w:shd w:val="clear" w:color="auto" w:fill="FFFFFF"/>
        <w:spacing w:before="0" w:beforeAutospacing="0" w:after="0" w:afterAutospacing="0"/>
        <w:ind w:firstLine="720"/>
        <w:jc w:val="both"/>
        <w:rPr>
          <w:rFonts w:cs="Arial"/>
          <w:color w:val="222222"/>
        </w:rPr>
      </w:pPr>
      <w:r>
        <w:rPr>
          <w:rFonts w:cs="Arial"/>
          <w:color w:val="222222"/>
          <w:u w:val="single"/>
        </w:rPr>
        <w:t>Process</w:t>
      </w:r>
      <w:r w:rsidR="004B6D39" w:rsidRPr="00DD5EE6">
        <w:rPr>
          <w:rFonts w:cs="Arial"/>
          <w:color w:val="222222"/>
        </w:rPr>
        <w:t>:</w:t>
      </w:r>
    </w:p>
    <w:p w14:paraId="0BBC34A2" w14:textId="6B6852AF" w:rsidR="004B6D39" w:rsidRPr="00DD5EE6" w:rsidRDefault="00AF39AB"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The b</w:t>
      </w:r>
      <w:r w:rsidR="004B6D39" w:rsidRPr="00DD5EE6">
        <w:rPr>
          <w:rFonts w:cs="Arial"/>
          <w:color w:val="222222"/>
        </w:rPr>
        <w:t xml:space="preserve">udget </w:t>
      </w:r>
      <w:r w:rsidRPr="00DD5EE6">
        <w:rPr>
          <w:rFonts w:cs="Arial"/>
          <w:color w:val="222222"/>
        </w:rPr>
        <w:t>billing</w:t>
      </w:r>
      <w:r w:rsidR="004B6D39" w:rsidRPr="00DD5EE6">
        <w:rPr>
          <w:rFonts w:cs="Arial"/>
          <w:color w:val="222222"/>
        </w:rPr>
        <w:t xml:space="preserve"> amount is calculated </w:t>
      </w:r>
      <w:r w:rsidRPr="00DD5EE6">
        <w:rPr>
          <w:rFonts w:cs="Arial"/>
          <w:color w:val="222222"/>
        </w:rPr>
        <w:t xml:space="preserve">based </w:t>
      </w:r>
      <w:r w:rsidR="004B6D39" w:rsidRPr="00DD5EE6">
        <w:rPr>
          <w:rFonts w:cs="Arial"/>
          <w:color w:val="222222"/>
        </w:rPr>
        <w:t xml:space="preserve">on </w:t>
      </w:r>
      <w:r w:rsidRPr="00DD5EE6">
        <w:rPr>
          <w:rFonts w:cs="Arial"/>
          <w:color w:val="222222"/>
        </w:rPr>
        <w:t xml:space="preserve">the </w:t>
      </w:r>
      <w:r w:rsidR="004B6D39" w:rsidRPr="00DD5EE6">
        <w:rPr>
          <w:rFonts w:cs="Arial"/>
          <w:color w:val="222222"/>
        </w:rPr>
        <w:t>average monthly cost of utilities from January 15-December 1</w:t>
      </w:r>
      <w:r w:rsidRPr="00DD5EE6">
        <w:rPr>
          <w:rFonts w:cs="Arial"/>
          <w:color w:val="222222"/>
        </w:rPr>
        <w:t>5 of each year</w:t>
      </w:r>
      <w:r w:rsidR="004B6D39" w:rsidRPr="00DD5EE6">
        <w:rPr>
          <w:rFonts w:cs="Arial"/>
          <w:color w:val="222222"/>
        </w:rPr>
        <w:t>.</w:t>
      </w:r>
    </w:p>
    <w:p w14:paraId="4E3BE5D2" w14:textId="40B5A65A" w:rsidR="004B6D39" w:rsidRPr="00DD5EE6" w:rsidRDefault="00AF39AB"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 xml:space="preserve">A </w:t>
      </w:r>
      <w:r w:rsidR="004B6D39" w:rsidRPr="00DD5EE6">
        <w:rPr>
          <w:rFonts w:cs="Arial"/>
          <w:color w:val="222222"/>
        </w:rPr>
        <w:t xml:space="preserve">letter </w:t>
      </w:r>
      <w:r w:rsidR="00071D30" w:rsidRPr="00DD5EE6">
        <w:rPr>
          <w:rFonts w:cs="Arial"/>
          <w:color w:val="222222"/>
        </w:rPr>
        <w:t xml:space="preserve">agreement offering budget billing </w:t>
      </w:r>
      <w:r w:rsidR="004B6D39" w:rsidRPr="00DD5EE6">
        <w:rPr>
          <w:rFonts w:cs="Arial"/>
          <w:color w:val="222222"/>
        </w:rPr>
        <w:t xml:space="preserve">will be sent to </w:t>
      </w:r>
      <w:r w:rsidR="00071D30" w:rsidRPr="00DD5EE6">
        <w:rPr>
          <w:rFonts w:cs="Arial"/>
          <w:color w:val="222222"/>
        </w:rPr>
        <w:t xml:space="preserve">qualified </w:t>
      </w:r>
      <w:r w:rsidR="004B6D39" w:rsidRPr="00DD5EE6">
        <w:rPr>
          <w:rFonts w:cs="Arial"/>
          <w:color w:val="222222"/>
        </w:rPr>
        <w:t>customer</w:t>
      </w:r>
      <w:r w:rsidR="00071D30" w:rsidRPr="00DD5EE6">
        <w:rPr>
          <w:rFonts w:cs="Arial"/>
          <w:color w:val="222222"/>
        </w:rPr>
        <w:t>s</w:t>
      </w:r>
      <w:r w:rsidR="004B6D39" w:rsidRPr="00DD5EE6">
        <w:rPr>
          <w:rFonts w:cs="Arial"/>
          <w:color w:val="222222"/>
        </w:rPr>
        <w:t xml:space="preserve"> by January 1</w:t>
      </w:r>
      <w:r w:rsidR="004B6D39" w:rsidRPr="00DD5EE6">
        <w:rPr>
          <w:rFonts w:cs="Arial"/>
          <w:color w:val="222222"/>
          <w:vertAlign w:val="superscript"/>
        </w:rPr>
        <w:t>st</w:t>
      </w:r>
      <w:r w:rsidR="004B6D39" w:rsidRPr="00DD5EE6">
        <w:rPr>
          <w:rFonts w:cs="Arial"/>
          <w:color w:val="222222"/>
        </w:rPr>
        <w:t> </w:t>
      </w:r>
      <w:r w:rsidRPr="00DD5EE6">
        <w:rPr>
          <w:rFonts w:cs="Arial"/>
          <w:color w:val="222222"/>
        </w:rPr>
        <w:t>of each year</w:t>
      </w:r>
      <w:r w:rsidR="00071D30" w:rsidRPr="00DD5EE6">
        <w:rPr>
          <w:rFonts w:cs="Arial"/>
          <w:color w:val="222222"/>
        </w:rPr>
        <w:t xml:space="preserve">.  Customer </w:t>
      </w:r>
      <w:r w:rsidR="004B6D39" w:rsidRPr="00DD5EE6">
        <w:rPr>
          <w:rFonts w:cs="Arial"/>
          <w:color w:val="222222"/>
        </w:rPr>
        <w:t>must sign</w:t>
      </w:r>
      <w:r w:rsidR="000A7F73">
        <w:rPr>
          <w:rFonts w:cs="Arial"/>
          <w:color w:val="222222"/>
        </w:rPr>
        <w:t xml:space="preserve"> </w:t>
      </w:r>
      <w:r w:rsidR="004B6D39" w:rsidRPr="00DD5EE6">
        <w:rPr>
          <w:rFonts w:cs="Arial"/>
          <w:color w:val="222222"/>
        </w:rPr>
        <w:t>and return</w:t>
      </w:r>
      <w:r w:rsidR="00071D30" w:rsidRPr="00DD5EE6">
        <w:rPr>
          <w:rFonts w:cs="Arial"/>
          <w:color w:val="222222"/>
        </w:rPr>
        <w:t xml:space="preserve"> the agreement</w:t>
      </w:r>
      <w:r w:rsidR="004B6D39" w:rsidRPr="00DD5EE6">
        <w:rPr>
          <w:rFonts w:cs="Arial"/>
          <w:color w:val="222222"/>
        </w:rPr>
        <w:t xml:space="preserve"> </w:t>
      </w:r>
      <w:r w:rsidRPr="00DD5EE6">
        <w:rPr>
          <w:rFonts w:cs="Arial"/>
          <w:color w:val="222222"/>
        </w:rPr>
        <w:t xml:space="preserve">to the </w:t>
      </w:r>
      <w:proofErr w:type="gramStart"/>
      <w:r w:rsidRPr="00DD5EE6">
        <w:rPr>
          <w:rFonts w:cs="Arial"/>
          <w:color w:val="222222"/>
        </w:rPr>
        <w:t>City</w:t>
      </w:r>
      <w:proofErr w:type="gramEnd"/>
      <w:r w:rsidRPr="00DD5EE6">
        <w:rPr>
          <w:rFonts w:cs="Arial"/>
          <w:color w:val="222222"/>
        </w:rPr>
        <w:t xml:space="preserve"> office </w:t>
      </w:r>
      <w:r w:rsidR="004B6D39" w:rsidRPr="00DD5EE6">
        <w:rPr>
          <w:rFonts w:cs="Arial"/>
          <w:color w:val="222222"/>
        </w:rPr>
        <w:t>by January 15</w:t>
      </w:r>
      <w:r w:rsidR="004B6D39" w:rsidRPr="00DD5EE6">
        <w:rPr>
          <w:rFonts w:cs="Arial"/>
          <w:color w:val="222222"/>
          <w:vertAlign w:val="superscript"/>
        </w:rPr>
        <w:t>th</w:t>
      </w:r>
      <w:r w:rsidRPr="00DD5EE6">
        <w:rPr>
          <w:rFonts w:cs="Arial"/>
          <w:color w:val="222222"/>
        </w:rPr>
        <w:t xml:space="preserve"> of each year</w:t>
      </w:r>
      <w:r w:rsidR="00071D30" w:rsidRPr="00DD5EE6">
        <w:rPr>
          <w:rFonts w:cs="Arial"/>
          <w:color w:val="222222"/>
        </w:rPr>
        <w:t xml:space="preserve"> in order to participate in the budget billing plan</w:t>
      </w:r>
      <w:r w:rsidRPr="00DD5EE6">
        <w:rPr>
          <w:rFonts w:cs="Arial"/>
          <w:color w:val="222222"/>
        </w:rPr>
        <w:t>.</w:t>
      </w:r>
    </w:p>
    <w:p w14:paraId="6AEC8141" w14:textId="6FAE9290" w:rsidR="004B6D39" w:rsidRPr="00DD5EE6" w:rsidRDefault="004B6D39"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Customer</w:t>
      </w:r>
      <w:r w:rsidR="00071D30" w:rsidRPr="00DD5EE6">
        <w:rPr>
          <w:rFonts w:cs="Arial"/>
          <w:color w:val="222222"/>
        </w:rPr>
        <w:t>s</w:t>
      </w:r>
      <w:r w:rsidRPr="00DD5EE6">
        <w:rPr>
          <w:rFonts w:cs="Arial"/>
          <w:color w:val="222222"/>
        </w:rPr>
        <w:t xml:space="preserve"> will not be allowed to negotiate </w:t>
      </w:r>
      <w:r w:rsidR="00071D30" w:rsidRPr="00DD5EE6">
        <w:rPr>
          <w:rFonts w:cs="Arial"/>
          <w:color w:val="222222"/>
        </w:rPr>
        <w:t xml:space="preserve">the </w:t>
      </w:r>
      <w:r w:rsidRPr="00DD5EE6">
        <w:rPr>
          <w:rFonts w:cs="Arial"/>
          <w:color w:val="222222"/>
        </w:rPr>
        <w:t>amount</w:t>
      </w:r>
      <w:r w:rsidR="00071D30" w:rsidRPr="00DD5EE6">
        <w:rPr>
          <w:rFonts w:cs="Arial"/>
          <w:color w:val="222222"/>
        </w:rPr>
        <w:t xml:space="preserve"> of the budget billing</w:t>
      </w:r>
      <w:r w:rsidRPr="00DD5EE6">
        <w:rPr>
          <w:rFonts w:cs="Arial"/>
          <w:color w:val="222222"/>
        </w:rPr>
        <w:t>.</w:t>
      </w:r>
    </w:p>
    <w:p w14:paraId="0E277DE6" w14:textId="312FBBE0" w:rsidR="004B6D39" w:rsidRPr="00DD5EE6" w:rsidRDefault="004B6D39"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Budget</w:t>
      </w:r>
      <w:r w:rsidR="00AF39AB" w:rsidRPr="00DD5EE6">
        <w:rPr>
          <w:rFonts w:cs="Arial"/>
          <w:color w:val="222222"/>
        </w:rPr>
        <w:t xml:space="preserve"> billing </w:t>
      </w:r>
      <w:r w:rsidRPr="00DD5EE6">
        <w:rPr>
          <w:rFonts w:cs="Arial"/>
          <w:color w:val="222222"/>
        </w:rPr>
        <w:t>start</w:t>
      </w:r>
      <w:r w:rsidR="00AF39AB" w:rsidRPr="00DD5EE6">
        <w:rPr>
          <w:rFonts w:cs="Arial"/>
          <w:color w:val="222222"/>
        </w:rPr>
        <w:t>s</w:t>
      </w:r>
      <w:r w:rsidRPr="00DD5EE6">
        <w:rPr>
          <w:rFonts w:cs="Arial"/>
          <w:color w:val="222222"/>
        </w:rPr>
        <w:t xml:space="preserve"> on the February 1</w:t>
      </w:r>
      <w:r w:rsidRPr="00DD5EE6">
        <w:rPr>
          <w:rFonts w:cs="Arial"/>
          <w:color w:val="222222"/>
          <w:vertAlign w:val="superscript"/>
        </w:rPr>
        <w:t>st</w:t>
      </w:r>
      <w:r w:rsidRPr="00DD5EE6">
        <w:rPr>
          <w:rFonts w:cs="Arial"/>
          <w:color w:val="222222"/>
        </w:rPr>
        <w:t> bill.</w:t>
      </w:r>
    </w:p>
    <w:p w14:paraId="1C158798" w14:textId="2ED641B5" w:rsidR="004B6D39" w:rsidRPr="00DD5EE6" w:rsidRDefault="004B6D39"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 xml:space="preserve">Budget </w:t>
      </w:r>
      <w:r w:rsidR="00071D30" w:rsidRPr="00DD5EE6">
        <w:rPr>
          <w:rFonts w:cs="Arial"/>
          <w:color w:val="222222"/>
        </w:rPr>
        <w:t xml:space="preserve">billing </w:t>
      </w:r>
      <w:r w:rsidRPr="00DD5EE6">
        <w:rPr>
          <w:rFonts w:cs="Arial"/>
          <w:color w:val="222222"/>
        </w:rPr>
        <w:t>customer</w:t>
      </w:r>
      <w:r w:rsidR="00071D30" w:rsidRPr="00DD5EE6">
        <w:rPr>
          <w:rFonts w:cs="Arial"/>
          <w:color w:val="222222"/>
        </w:rPr>
        <w:t>s</w:t>
      </w:r>
      <w:r w:rsidRPr="00DD5EE6">
        <w:rPr>
          <w:rFonts w:cs="Arial"/>
          <w:color w:val="222222"/>
        </w:rPr>
        <w:t xml:space="preserve"> must be on Automated Clearing House (ACH</w:t>
      </w:r>
      <w:proofErr w:type="gramStart"/>
      <w:r w:rsidRPr="00DD5EE6">
        <w:rPr>
          <w:rFonts w:cs="Arial"/>
          <w:color w:val="222222"/>
        </w:rPr>
        <w:t>)</w:t>
      </w:r>
      <w:proofErr w:type="gramEnd"/>
      <w:r w:rsidRPr="00DD5EE6">
        <w:rPr>
          <w:rFonts w:cs="Arial"/>
          <w:color w:val="222222"/>
        </w:rPr>
        <w:t xml:space="preserve"> or the bill must be paid by the 16</w:t>
      </w:r>
      <w:r w:rsidRPr="00DD5EE6">
        <w:rPr>
          <w:rFonts w:cs="Arial"/>
          <w:color w:val="222222"/>
          <w:vertAlign w:val="superscript"/>
        </w:rPr>
        <w:t>th</w:t>
      </w:r>
      <w:r w:rsidRPr="00DD5EE6">
        <w:rPr>
          <w:rFonts w:cs="Arial"/>
          <w:color w:val="222222"/>
        </w:rPr>
        <w:t> of each month</w:t>
      </w:r>
      <w:bookmarkStart w:id="0" w:name="m_2401158280442057269__Hlk83017777"/>
      <w:r w:rsidRPr="00DD5EE6">
        <w:rPr>
          <w:rFonts w:cs="Arial"/>
          <w:color w:val="222222"/>
        </w:rPr>
        <w:t>.  If payment is not made by the 17</w:t>
      </w:r>
      <w:r w:rsidRPr="00DD5EE6">
        <w:rPr>
          <w:rFonts w:cs="Arial"/>
          <w:color w:val="222222"/>
          <w:vertAlign w:val="superscript"/>
        </w:rPr>
        <w:t>th</w:t>
      </w:r>
      <w:r w:rsidR="003B7443" w:rsidRPr="00DD5EE6">
        <w:rPr>
          <w:rFonts w:cs="Arial"/>
          <w:color w:val="222222"/>
        </w:rPr>
        <w:t xml:space="preserve">, </w:t>
      </w:r>
      <w:r w:rsidRPr="00DD5EE6">
        <w:rPr>
          <w:rFonts w:cs="Arial"/>
          <w:color w:val="222222"/>
        </w:rPr>
        <w:t xml:space="preserve">the </w:t>
      </w:r>
      <w:r w:rsidR="00071D30" w:rsidRPr="00DD5EE6">
        <w:rPr>
          <w:rFonts w:cs="Arial"/>
          <w:color w:val="222222"/>
        </w:rPr>
        <w:t xml:space="preserve">total </w:t>
      </w:r>
      <w:r w:rsidRPr="00DD5EE6">
        <w:rPr>
          <w:rFonts w:cs="Arial"/>
          <w:color w:val="222222"/>
        </w:rPr>
        <w:t xml:space="preserve">balance due </w:t>
      </w:r>
      <w:r w:rsidR="00071D30" w:rsidRPr="00DD5EE6">
        <w:rPr>
          <w:rFonts w:cs="Arial"/>
          <w:color w:val="222222"/>
        </w:rPr>
        <w:t xml:space="preserve">must be paid in full </w:t>
      </w:r>
      <w:r w:rsidRPr="00DD5EE6">
        <w:rPr>
          <w:rFonts w:cs="Arial"/>
          <w:color w:val="222222"/>
        </w:rPr>
        <w:t>by the 30</w:t>
      </w:r>
      <w:r w:rsidRPr="00DD5EE6">
        <w:rPr>
          <w:rFonts w:cs="Arial"/>
          <w:color w:val="222222"/>
          <w:vertAlign w:val="superscript"/>
        </w:rPr>
        <w:t>th</w:t>
      </w:r>
      <w:r w:rsidRPr="00DD5EE6">
        <w:rPr>
          <w:rFonts w:cs="Arial"/>
          <w:color w:val="222222"/>
        </w:rPr>
        <w:t> </w:t>
      </w:r>
      <w:r w:rsidR="00071D30" w:rsidRPr="00DD5EE6">
        <w:rPr>
          <w:rFonts w:cs="Arial"/>
          <w:color w:val="222222"/>
        </w:rPr>
        <w:t xml:space="preserve">of the month </w:t>
      </w:r>
      <w:r w:rsidRPr="00DD5EE6">
        <w:rPr>
          <w:rFonts w:cs="Arial"/>
          <w:color w:val="222222"/>
        </w:rPr>
        <w:t>and the customer will be removed from budget</w:t>
      </w:r>
      <w:r w:rsidR="00AF39AB" w:rsidRPr="00DD5EE6">
        <w:rPr>
          <w:rFonts w:cs="Arial"/>
          <w:color w:val="222222"/>
        </w:rPr>
        <w:t xml:space="preserve"> billing</w:t>
      </w:r>
      <w:r w:rsidRPr="00DD5EE6">
        <w:rPr>
          <w:rFonts w:cs="Arial"/>
          <w:color w:val="222222"/>
        </w:rPr>
        <w:t>. </w:t>
      </w:r>
      <w:bookmarkEnd w:id="0"/>
    </w:p>
    <w:p w14:paraId="00FF9E0D" w14:textId="1D13A07C" w:rsidR="004B6D39" w:rsidRPr="00DD5EE6" w:rsidRDefault="004B6D39"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Budget</w:t>
      </w:r>
      <w:r w:rsidR="00AF39AB" w:rsidRPr="00DD5EE6">
        <w:rPr>
          <w:rFonts w:cs="Arial"/>
          <w:color w:val="222222"/>
        </w:rPr>
        <w:t xml:space="preserve"> billings</w:t>
      </w:r>
      <w:r w:rsidRPr="00DD5EE6">
        <w:rPr>
          <w:rFonts w:cs="Arial"/>
          <w:color w:val="222222"/>
        </w:rPr>
        <w:t xml:space="preserve"> will be reviewed by </w:t>
      </w:r>
      <w:r w:rsidR="00AF39AB" w:rsidRPr="00DD5EE6">
        <w:rPr>
          <w:rFonts w:cs="Arial"/>
          <w:color w:val="222222"/>
        </w:rPr>
        <w:t>C</w:t>
      </w:r>
      <w:r w:rsidRPr="00DD5EE6">
        <w:rPr>
          <w:rFonts w:cs="Arial"/>
          <w:color w:val="222222"/>
        </w:rPr>
        <w:t xml:space="preserve">ity staff in July </w:t>
      </w:r>
      <w:r w:rsidR="00AF39AB" w:rsidRPr="00DD5EE6">
        <w:rPr>
          <w:rFonts w:cs="Arial"/>
          <w:color w:val="222222"/>
        </w:rPr>
        <w:t xml:space="preserve">of each year </w:t>
      </w:r>
      <w:r w:rsidRPr="00DD5EE6">
        <w:rPr>
          <w:rFonts w:cs="Arial"/>
          <w:color w:val="222222"/>
        </w:rPr>
        <w:t xml:space="preserve">and </w:t>
      </w:r>
      <w:r w:rsidR="00AF39AB" w:rsidRPr="00DD5EE6">
        <w:rPr>
          <w:rFonts w:cs="Arial"/>
          <w:color w:val="222222"/>
        </w:rPr>
        <w:t xml:space="preserve">billing </w:t>
      </w:r>
      <w:r w:rsidRPr="00DD5EE6">
        <w:rPr>
          <w:rFonts w:cs="Arial"/>
          <w:color w:val="222222"/>
        </w:rPr>
        <w:t xml:space="preserve">amounts may be adjusted due to </w:t>
      </w:r>
      <w:r w:rsidR="00071D30" w:rsidRPr="00DD5EE6">
        <w:rPr>
          <w:rFonts w:cs="Arial"/>
          <w:color w:val="222222"/>
        </w:rPr>
        <w:t xml:space="preserve">a </w:t>
      </w:r>
      <w:r w:rsidRPr="00DD5EE6">
        <w:rPr>
          <w:rFonts w:cs="Arial"/>
          <w:color w:val="222222"/>
        </w:rPr>
        <w:t xml:space="preserve">credit or debit </w:t>
      </w:r>
      <w:r w:rsidR="00AF39AB" w:rsidRPr="00DD5EE6">
        <w:rPr>
          <w:rFonts w:cs="Arial"/>
          <w:color w:val="222222"/>
        </w:rPr>
        <w:t xml:space="preserve">on the </w:t>
      </w:r>
      <w:r w:rsidR="00071D30" w:rsidRPr="00DD5EE6">
        <w:rPr>
          <w:rFonts w:cs="Arial"/>
          <w:color w:val="222222"/>
        </w:rPr>
        <w:t xml:space="preserve">customer’s </w:t>
      </w:r>
      <w:r w:rsidR="00AF39AB" w:rsidRPr="00DD5EE6">
        <w:rPr>
          <w:rFonts w:cs="Arial"/>
          <w:color w:val="222222"/>
        </w:rPr>
        <w:t>account</w:t>
      </w:r>
      <w:r w:rsidRPr="00DD5EE6">
        <w:rPr>
          <w:rFonts w:cs="Arial"/>
          <w:color w:val="222222"/>
        </w:rPr>
        <w:t xml:space="preserve">.  </w:t>
      </w:r>
      <w:r w:rsidR="00AF39AB" w:rsidRPr="00DD5EE6">
        <w:rPr>
          <w:rFonts w:cs="Arial"/>
          <w:color w:val="222222"/>
        </w:rPr>
        <w:t xml:space="preserve">If the budget billing amount needs to be adjusted, a letter will be sent to </w:t>
      </w:r>
      <w:r w:rsidR="00071D30" w:rsidRPr="00DD5EE6">
        <w:rPr>
          <w:rFonts w:cs="Arial"/>
          <w:color w:val="222222"/>
        </w:rPr>
        <w:t xml:space="preserve">the </w:t>
      </w:r>
      <w:r w:rsidR="00AF39AB" w:rsidRPr="00DD5EE6">
        <w:rPr>
          <w:rFonts w:cs="Arial"/>
          <w:color w:val="222222"/>
        </w:rPr>
        <w:t>customer</w:t>
      </w:r>
      <w:r w:rsidRPr="00DD5EE6">
        <w:rPr>
          <w:rFonts w:cs="Arial"/>
          <w:color w:val="222222"/>
        </w:rPr>
        <w:t>. </w:t>
      </w:r>
    </w:p>
    <w:p w14:paraId="695F054E" w14:textId="44D8F0B6" w:rsidR="004B6D39" w:rsidRPr="00DD5EE6" w:rsidRDefault="004B6D39" w:rsidP="00DD5EE6">
      <w:pPr>
        <w:pStyle w:val="m2401158280442057269msonospacing"/>
        <w:numPr>
          <w:ilvl w:val="0"/>
          <w:numId w:val="24"/>
        </w:numPr>
        <w:shd w:val="clear" w:color="auto" w:fill="FFFFFF"/>
        <w:spacing w:before="0" w:beforeAutospacing="0" w:after="0" w:afterAutospacing="0"/>
        <w:jc w:val="both"/>
        <w:rPr>
          <w:rFonts w:cs="Arial"/>
          <w:color w:val="222222"/>
        </w:rPr>
      </w:pPr>
      <w:r w:rsidRPr="00DD5EE6">
        <w:rPr>
          <w:rFonts w:cs="Arial"/>
          <w:color w:val="222222"/>
        </w:rPr>
        <w:t xml:space="preserve">At the end of the budget </w:t>
      </w:r>
      <w:r w:rsidR="00AF39AB" w:rsidRPr="00DD5EE6">
        <w:rPr>
          <w:rFonts w:cs="Arial"/>
          <w:color w:val="222222"/>
        </w:rPr>
        <w:t xml:space="preserve">billing </w:t>
      </w:r>
      <w:r w:rsidRPr="00DD5EE6">
        <w:rPr>
          <w:rFonts w:cs="Arial"/>
          <w:color w:val="222222"/>
        </w:rPr>
        <w:t>year</w:t>
      </w:r>
      <w:r w:rsidR="00071D30" w:rsidRPr="00DD5EE6">
        <w:rPr>
          <w:rFonts w:cs="Arial"/>
          <w:color w:val="222222"/>
        </w:rPr>
        <w:t xml:space="preserve"> (December 15 of each year)</w:t>
      </w:r>
      <w:r w:rsidRPr="00DD5EE6">
        <w:rPr>
          <w:rFonts w:cs="Arial"/>
          <w:color w:val="222222"/>
        </w:rPr>
        <w:t xml:space="preserve">, </w:t>
      </w:r>
      <w:r w:rsidR="00071D30" w:rsidRPr="00DD5EE6">
        <w:rPr>
          <w:rFonts w:cs="Arial"/>
          <w:color w:val="222222"/>
        </w:rPr>
        <w:t xml:space="preserve">the </w:t>
      </w:r>
      <w:r w:rsidRPr="00DD5EE6">
        <w:rPr>
          <w:rFonts w:cs="Arial"/>
          <w:color w:val="222222"/>
        </w:rPr>
        <w:t>full balance must be paid by December 16</w:t>
      </w:r>
      <w:r w:rsidRPr="00DD5EE6">
        <w:rPr>
          <w:rFonts w:cs="Arial"/>
          <w:color w:val="222222"/>
          <w:vertAlign w:val="superscript"/>
        </w:rPr>
        <w:t>th</w:t>
      </w:r>
      <w:r w:rsidR="00AF39AB" w:rsidRPr="00DD5EE6">
        <w:rPr>
          <w:rFonts w:cs="Arial"/>
          <w:color w:val="222222"/>
        </w:rPr>
        <w:t xml:space="preserve">.  Any </w:t>
      </w:r>
      <w:r w:rsidRPr="00DD5EE6">
        <w:rPr>
          <w:rFonts w:cs="Arial"/>
          <w:color w:val="222222"/>
        </w:rPr>
        <w:t xml:space="preserve">credit </w:t>
      </w:r>
      <w:r w:rsidR="00AF39AB" w:rsidRPr="00DD5EE6">
        <w:rPr>
          <w:rFonts w:cs="Arial"/>
          <w:color w:val="222222"/>
        </w:rPr>
        <w:t xml:space="preserve">due to </w:t>
      </w:r>
      <w:r w:rsidR="00071D30" w:rsidRPr="00DD5EE6">
        <w:rPr>
          <w:rFonts w:cs="Arial"/>
          <w:color w:val="222222"/>
        </w:rPr>
        <w:t xml:space="preserve">a </w:t>
      </w:r>
      <w:r w:rsidR="00AF39AB" w:rsidRPr="00DD5EE6">
        <w:rPr>
          <w:rFonts w:cs="Arial"/>
          <w:color w:val="222222"/>
        </w:rPr>
        <w:t xml:space="preserve">customer </w:t>
      </w:r>
      <w:r w:rsidRPr="00DD5EE6">
        <w:rPr>
          <w:rFonts w:cs="Arial"/>
          <w:color w:val="222222"/>
        </w:rPr>
        <w:t>will be paid at the end of the year by check.</w:t>
      </w:r>
    </w:p>
    <w:p w14:paraId="7D5B5E18" w14:textId="77777777" w:rsidR="004B6D39" w:rsidRPr="00DD5EE6" w:rsidRDefault="004B6D39" w:rsidP="004B6D39">
      <w:pPr>
        <w:pStyle w:val="m2401158280442057269msonospacing"/>
        <w:shd w:val="clear" w:color="auto" w:fill="FFFFFF"/>
        <w:spacing w:before="0" w:beforeAutospacing="0" w:after="0" w:afterAutospacing="0"/>
        <w:rPr>
          <w:rFonts w:cs="Arial"/>
          <w:color w:val="222222"/>
        </w:rPr>
      </w:pPr>
      <w:r w:rsidRPr="00DD5EE6">
        <w:rPr>
          <w:rFonts w:cs="Arial"/>
          <w:color w:val="222222"/>
        </w:rPr>
        <w:t> </w:t>
      </w:r>
    </w:p>
    <w:p w14:paraId="0AE5FCA8" w14:textId="77777777" w:rsidR="00BA1DAF" w:rsidRDefault="00BA1DAF" w:rsidP="00DD5EE6">
      <w:pPr>
        <w:pStyle w:val="m2401158280442057269msonospacing"/>
        <w:shd w:val="clear" w:color="auto" w:fill="FFFFFF"/>
        <w:spacing w:before="0" w:beforeAutospacing="0" w:after="0" w:afterAutospacing="0"/>
        <w:ind w:firstLine="720"/>
        <w:jc w:val="both"/>
        <w:rPr>
          <w:rFonts w:cs="Arial"/>
          <w:color w:val="222222"/>
          <w:u w:val="single"/>
        </w:rPr>
      </w:pPr>
    </w:p>
    <w:p w14:paraId="77176DFF" w14:textId="77777777" w:rsidR="00BA1DAF" w:rsidRDefault="00BA1DAF" w:rsidP="00DD5EE6">
      <w:pPr>
        <w:pStyle w:val="m2401158280442057269msonospacing"/>
        <w:shd w:val="clear" w:color="auto" w:fill="FFFFFF"/>
        <w:spacing w:before="0" w:beforeAutospacing="0" w:after="0" w:afterAutospacing="0"/>
        <w:ind w:firstLine="720"/>
        <w:jc w:val="both"/>
        <w:rPr>
          <w:rFonts w:cs="Arial"/>
          <w:color w:val="222222"/>
          <w:u w:val="single"/>
        </w:rPr>
      </w:pPr>
    </w:p>
    <w:p w14:paraId="349E1464" w14:textId="77777777" w:rsidR="00BA1DAF" w:rsidRDefault="00BA1DAF" w:rsidP="00DD5EE6">
      <w:pPr>
        <w:pStyle w:val="m2401158280442057269msonospacing"/>
        <w:shd w:val="clear" w:color="auto" w:fill="FFFFFF"/>
        <w:spacing w:before="0" w:beforeAutospacing="0" w:after="0" w:afterAutospacing="0"/>
        <w:ind w:firstLine="720"/>
        <w:jc w:val="both"/>
        <w:rPr>
          <w:rFonts w:cs="Arial"/>
          <w:color w:val="222222"/>
          <w:u w:val="single"/>
        </w:rPr>
      </w:pPr>
    </w:p>
    <w:p w14:paraId="3535C571" w14:textId="58E3C233" w:rsidR="004B6D39" w:rsidRPr="00DD5EE6" w:rsidRDefault="004B6D39" w:rsidP="00DD5EE6">
      <w:pPr>
        <w:pStyle w:val="m2401158280442057269msonospacing"/>
        <w:shd w:val="clear" w:color="auto" w:fill="FFFFFF"/>
        <w:spacing w:before="0" w:beforeAutospacing="0" w:after="0" w:afterAutospacing="0"/>
        <w:ind w:firstLine="720"/>
        <w:jc w:val="both"/>
        <w:rPr>
          <w:rFonts w:cs="Arial"/>
          <w:color w:val="222222"/>
        </w:rPr>
      </w:pPr>
      <w:r w:rsidRPr="00DD5EE6">
        <w:rPr>
          <w:rFonts w:cs="Arial"/>
          <w:color w:val="222222"/>
          <w:u w:val="single"/>
        </w:rPr>
        <w:lastRenderedPageBreak/>
        <w:t>Removal from Plan</w:t>
      </w:r>
      <w:r w:rsidR="003B7443" w:rsidRPr="00DD5EE6">
        <w:rPr>
          <w:rFonts w:cs="Arial"/>
          <w:color w:val="222222"/>
        </w:rPr>
        <w:t>:</w:t>
      </w:r>
    </w:p>
    <w:p w14:paraId="6AE44A4D" w14:textId="69B92DD0" w:rsidR="004B6D39" w:rsidRPr="00DD5EE6" w:rsidRDefault="00AF39AB" w:rsidP="00DD5EE6">
      <w:pPr>
        <w:pStyle w:val="m2401158280442057269msonospacing"/>
        <w:numPr>
          <w:ilvl w:val="0"/>
          <w:numId w:val="26"/>
        </w:numPr>
        <w:shd w:val="clear" w:color="auto" w:fill="FFFFFF"/>
        <w:spacing w:before="0" w:beforeAutospacing="0" w:after="0" w:afterAutospacing="0"/>
        <w:jc w:val="both"/>
        <w:rPr>
          <w:rFonts w:cs="Arial"/>
          <w:color w:val="222222"/>
        </w:rPr>
      </w:pPr>
      <w:r w:rsidRPr="00DD5EE6">
        <w:rPr>
          <w:rFonts w:cs="Arial"/>
          <w:color w:val="222222"/>
        </w:rPr>
        <w:t>A c</w:t>
      </w:r>
      <w:r w:rsidR="004B6D39" w:rsidRPr="00DD5EE6">
        <w:rPr>
          <w:rFonts w:cs="Arial"/>
          <w:color w:val="222222"/>
        </w:rPr>
        <w:t>ustomer</w:t>
      </w:r>
      <w:r w:rsidRPr="00DD5EE6">
        <w:rPr>
          <w:rFonts w:cs="Arial"/>
          <w:color w:val="222222"/>
        </w:rPr>
        <w:t xml:space="preserve"> </w:t>
      </w:r>
      <w:r w:rsidR="004B6D39" w:rsidRPr="00DD5EE6">
        <w:rPr>
          <w:rFonts w:cs="Arial"/>
          <w:color w:val="222222"/>
        </w:rPr>
        <w:t xml:space="preserve">will be removed from </w:t>
      </w:r>
      <w:r w:rsidRPr="00DD5EE6">
        <w:rPr>
          <w:rFonts w:cs="Arial"/>
          <w:color w:val="222222"/>
        </w:rPr>
        <w:t>b</w:t>
      </w:r>
      <w:r w:rsidR="004B6D39" w:rsidRPr="00DD5EE6">
        <w:rPr>
          <w:rFonts w:cs="Arial"/>
          <w:color w:val="222222"/>
        </w:rPr>
        <w:t xml:space="preserve">udget </w:t>
      </w:r>
      <w:r w:rsidRPr="00DD5EE6">
        <w:rPr>
          <w:rFonts w:cs="Arial"/>
          <w:color w:val="222222"/>
        </w:rPr>
        <w:t>b</w:t>
      </w:r>
      <w:r w:rsidR="00F40A09" w:rsidRPr="00DD5EE6">
        <w:rPr>
          <w:rFonts w:cs="Arial"/>
          <w:color w:val="222222"/>
        </w:rPr>
        <w:t>illing</w:t>
      </w:r>
      <w:r w:rsidR="004B6D39" w:rsidRPr="00DD5EE6">
        <w:rPr>
          <w:rFonts w:cs="Arial"/>
          <w:color w:val="222222"/>
        </w:rPr>
        <w:t xml:space="preserve"> for </w:t>
      </w:r>
      <w:r w:rsidRPr="00DD5EE6">
        <w:rPr>
          <w:rFonts w:cs="Arial"/>
          <w:color w:val="222222"/>
        </w:rPr>
        <w:t xml:space="preserve">any of </w:t>
      </w:r>
      <w:r w:rsidR="004B6D39" w:rsidRPr="00DD5EE6">
        <w:rPr>
          <w:rFonts w:cs="Arial"/>
          <w:color w:val="222222"/>
        </w:rPr>
        <w:t>the following reasons:</w:t>
      </w:r>
    </w:p>
    <w:p w14:paraId="53036C66" w14:textId="4483383E" w:rsidR="004B6D39" w:rsidRPr="00DD5EE6" w:rsidRDefault="004B6D39" w:rsidP="00DD5EE6">
      <w:pPr>
        <w:pStyle w:val="m2401158280442057269msonospacing"/>
        <w:numPr>
          <w:ilvl w:val="0"/>
          <w:numId w:val="25"/>
        </w:numPr>
        <w:shd w:val="clear" w:color="auto" w:fill="FFFFFF"/>
        <w:spacing w:before="0" w:beforeAutospacing="0" w:after="0" w:afterAutospacing="0"/>
        <w:jc w:val="both"/>
        <w:rPr>
          <w:rFonts w:cs="Arial"/>
          <w:color w:val="222222"/>
        </w:rPr>
      </w:pPr>
      <w:r w:rsidRPr="00DD5EE6">
        <w:rPr>
          <w:rFonts w:cs="Arial"/>
          <w:color w:val="222222"/>
        </w:rPr>
        <w:t xml:space="preserve">If payment for the budget </w:t>
      </w:r>
      <w:r w:rsidR="00071D30" w:rsidRPr="00DD5EE6">
        <w:rPr>
          <w:rFonts w:cs="Arial"/>
          <w:color w:val="222222"/>
        </w:rPr>
        <w:t xml:space="preserve">billing </w:t>
      </w:r>
      <w:r w:rsidRPr="00DD5EE6">
        <w:rPr>
          <w:rFonts w:cs="Arial"/>
          <w:color w:val="222222"/>
        </w:rPr>
        <w:t>amount is returned for any reason, including, but not limited to, insufficient funds or closed account.  To be re-instated, the customer will be required to re-establish good payment history for the next 12 months. </w:t>
      </w:r>
    </w:p>
    <w:p w14:paraId="45626BC8" w14:textId="378593BD" w:rsidR="004B6D39" w:rsidRPr="00DD5EE6" w:rsidRDefault="004B6D39" w:rsidP="00DD5EE6">
      <w:pPr>
        <w:pStyle w:val="m2401158280442057269msonospacing"/>
        <w:numPr>
          <w:ilvl w:val="0"/>
          <w:numId w:val="25"/>
        </w:numPr>
        <w:shd w:val="clear" w:color="auto" w:fill="FFFFFF"/>
        <w:spacing w:before="0" w:beforeAutospacing="0" w:after="0" w:afterAutospacing="0"/>
        <w:jc w:val="both"/>
        <w:rPr>
          <w:rFonts w:cs="Arial"/>
          <w:color w:val="222222"/>
        </w:rPr>
      </w:pPr>
      <w:r w:rsidRPr="00DD5EE6">
        <w:rPr>
          <w:rFonts w:cs="Arial"/>
          <w:color w:val="222222"/>
        </w:rPr>
        <w:t>If payment is not made by the 17</w:t>
      </w:r>
      <w:r w:rsidRPr="00DD5EE6">
        <w:rPr>
          <w:rFonts w:cs="Arial"/>
          <w:color w:val="222222"/>
          <w:vertAlign w:val="superscript"/>
        </w:rPr>
        <w:t>th</w:t>
      </w:r>
      <w:r w:rsidR="00AF39AB" w:rsidRPr="00DD5EE6">
        <w:rPr>
          <w:rFonts w:cs="Arial"/>
          <w:color w:val="222222"/>
        </w:rPr>
        <w:t xml:space="preserve"> of the month.</w:t>
      </w:r>
    </w:p>
    <w:p w14:paraId="6BCDB29E" w14:textId="18A2025B" w:rsidR="004B6D39" w:rsidRPr="00DD5EE6" w:rsidRDefault="004B6D39">
      <w:pPr>
        <w:pStyle w:val="m2401158280442057269msonospacing"/>
        <w:numPr>
          <w:ilvl w:val="0"/>
          <w:numId w:val="25"/>
        </w:numPr>
        <w:shd w:val="clear" w:color="auto" w:fill="FFFFFF"/>
        <w:spacing w:before="0" w:beforeAutospacing="0" w:after="0" w:afterAutospacing="0"/>
        <w:jc w:val="both"/>
        <w:rPr>
          <w:rFonts w:cs="Arial"/>
          <w:color w:val="222222"/>
        </w:rPr>
      </w:pPr>
      <w:r w:rsidRPr="00DD5EE6">
        <w:rPr>
          <w:rFonts w:cs="Arial"/>
          <w:color w:val="222222"/>
        </w:rPr>
        <w:t xml:space="preserve">If the customer requests to be removed from the </w:t>
      </w:r>
      <w:r w:rsidR="00AF39AB" w:rsidRPr="00DD5EE6">
        <w:rPr>
          <w:rFonts w:cs="Arial"/>
          <w:color w:val="222222"/>
        </w:rPr>
        <w:t>b</w:t>
      </w:r>
      <w:r w:rsidRPr="00DD5EE6">
        <w:rPr>
          <w:rFonts w:cs="Arial"/>
          <w:color w:val="222222"/>
        </w:rPr>
        <w:t xml:space="preserve">udget </w:t>
      </w:r>
      <w:r w:rsidR="00AF39AB" w:rsidRPr="00DD5EE6">
        <w:rPr>
          <w:rFonts w:cs="Arial"/>
          <w:color w:val="222222"/>
        </w:rPr>
        <w:t>billing</w:t>
      </w:r>
      <w:r w:rsidRPr="00DD5EE6">
        <w:rPr>
          <w:rFonts w:cs="Arial"/>
          <w:color w:val="222222"/>
        </w:rPr>
        <w:t xml:space="preserve"> </w:t>
      </w:r>
      <w:r w:rsidR="00AF39AB" w:rsidRPr="00DD5EE6">
        <w:rPr>
          <w:rFonts w:cs="Arial"/>
          <w:color w:val="222222"/>
        </w:rPr>
        <w:t>plan</w:t>
      </w:r>
      <w:r w:rsidRPr="00DD5EE6">
        <w:rPr>
          <w:rFonts w:cs="Arial"/>
          <w:color w:val="222222"/>
        </w:rPr>
        <w:t xml:space="preserve"> in writing </w:t>
      </w:r>
      <w:r w:rsidR="00AF39AB" w:rsidRPr="00DD5EE6">
        <w:rPr>
          <w:rFonts w:cs="Arial"/>
          <w:color w:val="222222"/>
        </w:rPr>
        <w:t xml:space="preserve">at least </w:t>
      </w:r>
      <w:r w:rsidRPr="00DD5EE6">
        <w:rPr>
          <w:rFonts w:cs="Arial"/>
          <w:color w:val="222222"/>
        </w:rPr>
        <w:t>10 days before the 1</w:t>
      </w:r>
      <w:r w:rsidRPr="00DD5EE6">
        <w:rPr>
          <w:rFonts w:cs="Arial"/>
          <w:color w:val="222222"/>
          <w:vertAlign w:val="superscript"/>
        </w:rPr>
        <w:t>st</w:t>
      </w:r>
      <w:r w:rsidRPr="00DD5EE6">
        <w:rPr>
          <w:rFonts w:cs="Arial"/>
          <w:color w:val="222222"/>
        </w:rPr>
        <w:t> of the month.</w:t>
      </w:r>
    </w:p>
    <w:p w14:paraId="22CCB625" w14:textId="77777777" w:rsidR="00F40A09" w:rsidRPr="00DD5EE6" w:rsidRDefault="00F40A09" w:rsidP="00DD5EE6">
      <w:pPr>
        <w:pStyle w:val="m2401158280442057269msonospacing"/>
        <w:shd w:val="clear" w:color="auto" w:fill="FFFFFF"/>
        <w:spacing w:before="0" w:beforeAutospacing="0" w:after="0" w:afterAutospacing="0"/>
        <w:ind w:left="1440"/>
        <w:jc w:val="both"/>
        <w:rPr>
          <w:rFonts w:cs="Arial"/>
          <w:color w:val="222222"/>
        </w:rPr>
      </w:pPr>
    </w:p>
    <w:p w14:paraId="3C7BF473" w14:textId="6CB14BB1" w:rsidR="00597717" w:rsidRPr="00DD5EE6" w:rsidRDefault="004A379C" w:rsidP="00071BC3">
      <w:pPr>
        <w:tabs>
          <w:tab w:val="left" w:pos="720"/>
        </w:tabs>
        <w:jc w:val="both"/>
        <w:rPr>
          <w:rFonts w:cs="Arial"/>
        </w:rPr>
      </w:pPr>
      <w:r w:rsidRPr="00DD5EE6">
        <w:rPr>
          <w:rFonts w:cs="Arial"/>
        </w:rPr>
        <w:tab/>
      </w:r>
      <w:r w:rsidR="008F543A" w:rsidRPr="00DD5EE6">
        <w:rPr>
          <w:rFonts w:cs="Arial"/>
          <w:b/>
        </w:rPr>
        <w:t xml:space="preserve">Section </w:t>
      </w:r>
      <w:r w:rsidR="004A5CB4" w:rsidRPr="00DD5EE6">
        <w:rPr>
          <w:rFonts w:cs="Arial"/>
          <w:b/>
        </w:rPr>
        <w:t>6</w:t>
      </w:r>
      <w:r w:rsidR="008F543A" w:rsidRPr="00DD5EE6">
        <w:rPr>
          <w:rFonts w:cs="Arial"/>
        </w:rPr>
        <w:t xml:space="preserve">:  </w:t>
      </w:r>
      <w:r w:rsidR="00597717" w:rsidRPr="00DD5EE6">
        <w:rPr>
          <w:rFonts w:cs="Arial"/>
        </w:rPr>
        <w:t xml:space="preserve">Any other ordinance or section passed and approved prior to the passage, approval, and publication or posting of this Ordinance, and in conflict with its provisions, </w:t>
      </w:r>
      <w:r w:rsidR="00616FE0" w:rsidRPr="00DD5EE6">
        <w:rPr>
          <w:rFonts w:cs="Arial"/>
        </w:rPr>
        <w:t>are</w:t>
      </w:r>
      <w:r w:rsidR="00597717" w:rsidRPr="00DD5EE6">
        <w:rPr>
          <w:rFonts w:cs="Arial"/>
        </w:rPr>
        <w:t xml:space="preserve"> hereby repealed.</w:t>
      </w:r>
    </w:p>
    <w:p w14:paraId="7A5DBC89" w14:textId="77777777" w:rsidR="00597717" w:rsidRPr="00DD5EE6" w:rsidRDefault="00597717" w:rsidP="00545924">
      <w:pPr>
        <w:tabs>
          <w:tab w:val="left" w:pos="360"/>
        </w:tabs>
        <w:jc w:val="both"/>
        <w:rPr>
          <w:rFonts w:cs="Arial"/>
        </w:rPr>
      </w:pPr>
    </w:p>
    <w:p w14:paraId="7916CF06" w14:textId="68B1B312" w:rsidR="00616FE0" w:rsidRPr="00DD5EE6" w:rsidRDefault="00071BC3" w:rsidP="00071BC3">
      <w:pPr>
        <w:tabs>
          <w:tab w:val="left" w:pos="720"/>
        </w:tabs>
        <w:jc w:val="both"/>
        <w:rPr>
          <w:rFonts w:cs="Arial"/>
        </w:rPr>
      </w:pPr>
      <w:r w:rsidRPr="00DD5EE6">
        <w:rPr>
          <w:rFonts w:cs="Arial"/>
          <w:b/>
        </w:rPr>
        <w:tab/>
      </w:r>
      <w:r w:rsidR="00597717" w:rsidRPr="00DD5EE6">
        <w:rPr>
          <w:rFonts w:cs="Arial"/>
          <w:b/>
        </w:rPr>
        <w:t xml:space="preserve">Section </w:t>
      </w:r>
      <w:r w:rsidR="004A5CB4" w:rsidRPr="00DD5EE6">
        <w:rPr>
          <w:rFonts w:cs="Arial"/>
          <w:b/>
        </w:rPr>
        <w:t>7</w:t>
      </w:r>
      <w:r w:rsidR="00597717" w:rsidRPr="00DD5EE6">
        <w:rPr>
          <w:rFonts w:cs="Arial"/>
        </w:rPr>
        <w:t>:  This Ordinance shall take effect and be in full force from now and after its passage, approval, and publicatio</w:t>
      </w:r>
      <w:r w:rsidR="00616FE0" w:rsidRPr="00DD5EE6">
        <w:rPr>
          <w:rFonts w:cs="Arial"/>
        </w:rPr>
        <w:t>n or posting as required by law.</w:t>
      </w:r>
    </w:p>
    <w:p w14:paraId="7B1111BC" w14:textId="77777777" w:rsidR="00616FE0" w:rsidRPr="00DD5EE6" w:rsidRDefault="00616FE0" w:rsidP="00071BC3">
      <w:pPr>
        <w:tabs>
          <w:tab w:val="left" w:pos="720"/>
        </w:tabs>
        <w:jc w:val="both"/>
        <w:rPr>
          <w:rFonts w:cs="Arial"/>
        </w:rPr>
      </w:pPr>
    </w:p>
    <w:p w14:paraId="58E2638A" w14:textId="042F976E" w:rsidR="00597717" w:rsidRPr="00DD5EE6" w:rsidRDefault="00B94FE2" w:rsidP="00071BC3">
      <w:pPr>
        <w:tabs>
          <w:tab w:val="left" w:pos="720"/>
        </w:tabs>
        <w:jc w:val="both"/>
        <w:rPr>
          <w:rFonts w:cs="Arial"/>
        </w:rPr>
      </w:pPr>
      <w:r w:rsidRPr="00DD5EE6">
        <w:rPr>
          <w:rFonts w:cs="Arial"/>
        </w:rPr>
        <w:tab/>
      </w:r>
      <w:r w:rsidR="00597717" w:rsidRPr="00DD5EE6">
        <w:rPr>
          <w:rFonts w:cs="Arial"/>
        </w:rPr>
        <w:t xml:space="preserve">PASSED AND APPROVED this </w:t>
      </w:r>
      <w:r w:rsidR="00DB350E" w:rsidRPr="00DD5EE6">
        <w:rPr>
          <w:rFonts w:cs="Arial"/>
        </w:rPr>
        <w:t xml:space="preserve">_______ </w:t>
      </w:r>
      <w:r w:rsidR="00597717" w:rsidRPr="00DD5EE6">
        <w:rPr>
          <w:rFonts w:cs="Arial"/>
        </w:rPr>
        <w:t xml:space="preserve">day of </w:t>
      </w:r>
      <w:r w:rsidR="00DB350E" w:rsidRPr="00DD5EE6">
        <w:rPr>
          <w:rFonts w:cs="Arial"/>
        </w:rPr>
        <w:t xml:space="preserve">___________________, </w:t>
      </w:r>
      <w:r w:rsidR="00861C74" w:rsidRPr="00DD5EE6">
        <w:rPr>
          <w:rFonts w:cs="Arial"/>
        </w:rPr>
        <w:t>2021</w:t>
      </w:r>
      <w:r w:rsidR="00597717" w:rsidRPr="00DD5EE6">
        <w:rPr>
          <w:rFonts w:cs="Arial"/>
        </w:rPr>
        <w:t>.</w:t>
      </w:r>
    </w:p>
    <w:p w14:paraId="001183EC" w14:textId="77777777" w:rsidR="00597717" w:rsidRPr="00DD5EE6" w:rsidRDefault="00597717" w:rsidP="00545924">
      <w:pPr>
        <w:tabs>
          <w:tab w:val="left" w:pos="360"/>
        </w:tabs>
        <w:jc w:val="both"/>
        <w:rPr>
          <w:rFonts w:cs="Arial"/>
        </w:rPr>
      </w:pPr>
    </w:p>
    <w:p w14:paraId="3AFE9F98" w14:textId="77777777" w:rsidR="00597717" w:rsidRPr="00DD5EE6" w:rsidRDefault="00597717" w:rsidP="00545924">
      <w:pPr>
        <w:tabs>
          <w:tab w:val="left" w:pos="360"/>
        </w:tabs>
        <w:jc w:val="both"/>
        <w:rPr>
          <w:rFonts w:cs="Arial"/>
        </w:rPr>
      </w:pPr>
    </w:p>
    <w:p w14:paraId="553D6029" w14:textId="686B7A46" w:rsidR="00597717" w:rsidRPr="00DD5EE6" w:rsidRDefault="00597717" w:rsidP="00545924">
      <w:pPr>
        <w:tabs>
          <w:tab w:val="left" w:pos="360"/>
        </w:tabs>
        <w:jc w:val="both"/>
        <w:rPr>
          <w:rFonts w:cs="Arial"/>
        </w:rPr>
      </w:pP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004A379C" w:rsidRPr="00DD5EE6">
        <w:rPr>
          <w:rFonts w:cs="Arial"/>
        </w:rPr>
        <w:t>CITY OF HEBRON</w:t>
      </w:r>
      <w:r w:rsidRPr="00DD5EE6">
        <w:rPr>
          <w:rFonts w:cs="Arial"/>
        </w:rPr>
        <w:t>, NEBRASKA</w:t>
      </w:r>
    </w:p>
    <w:p w14:paraId="2E9EF97C" w14:textId="77777777" w:rsidR="00597717" w:rsidRPr="00DD5EE6" w:rsidRDefault="00597717" w:rsidP="00545924">
      <w:pPr>
        <w:tabs>
          <w:tab w:val="left" w:pos="360"/>
        </w:tabs>
        <w:jc w:val="both"/>
        <w:rPr>
          <w:rFonts w:cs="Arial"/>
        </w:rPr>
      </w:pPr>
    </w:p>
    <w:p w14:paraId="23D5D5CD" w14:textId="77777777" w:rsidR="00597717" w:rsidRPr="00DD5EE6" w:rsidRDefault="00597717" w:rsidP="00545924">
      <w:pPr>
        <w:tabs>
          <w:tab w:val="left" w:pos="360"/>
        </w:tabs>
        <w:jc w:val="both"/>
        <w:rPr>
          <w:rFonts w:cs="Arial"/>
        </w:rPr>
      </w:pPr>
    </w:p>
    <w:p w14:paraId="5D77E573" w14:textId="77777777" w:rsidR="00597717" w:rsidRPr="00DD5EE6" w:rsidRDefault="00597717" w:rsidP="00545924">
      <w:pPr>
        <w:tabs>
          <w:tab w:val="left" w:pos="360"/>
        </w:tabs>
        <w:jc w:val="both"/>
        <w:rPr>
          <w:rFonts w:cs="Arial"/>
        </w:rPr>
      </w:pP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u w:val="single"/>
        </w:rPr>
        <w:tab/>
      </w:r>
      <w:r w:rsidRPr="00DD5EE6">
        <w:rPr>
          <w:rFonts w:cs="Arial"/>
          <w:u w:val="single"/>
        </w:rPr>
        <w:tab/>
      </w:r>
      <w:r w:rsidRPr="00DD5EE6">
        <w:rPr>
          <w:rFonts w:cs="Arial"/>
          <w:u w:val="single"/>
        </w:rPr>
        <w:tab/>
      </w:r>
      <w:r w:rsidRPr="00DD5EE6">
        <w:rPr>
          <w:rFonts w:cs="Arial"/>
          <w:u w:val="single"/>
        </w:rPr>
        <w:tab/>
      </w:r>
      <w:r w:rsidRPr="00DD5EE6">
        <w:rPr>
          <w:rFonts w:cs="Arial"/>
          <w:u w:val="single"/>
        </w:rPr>
        <w:tab/>
      </w:r>
      <w:r w:rsidRPr="00DD5EE6">
        <w:rPr>
          <w:rFonts w:cs="Arial"/>
          <w:u w:val="single"/>
        </w:rPr>
        <w:tab/>
      </w:r>
    </w:p>
    <w:p w14:paraId="5BAA4DA9" w14:textId="30D0FAEE" w:rsidR="00597717" w:rsidRPr="00DD5EE6" w:rsidRDefault="00DB350E" w:rsidP="00545924">
      <w:pPr>
        <w:tabs>
          <w:tab w:val="left" w:pos="360"/>
        </w:tabs>
        <w:jc w:val="both"/>
        <w:rPr>
          <w:rFonts w:cs="Arial"/>
        </w:rPr>
      </w:pP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Pr="00DD5EE6">
        <w:rPr>
          <w:rFonts w:cs="Arial"/>
        </w:rPr>
        <w:tab/>
      </w:r>
      <w:r w:rsidR="00861C74" w:rsidRPr="00DD5EE6">
        <w:rPr>
          <w:rFonts w:cs="Arial"/>
        </w:rPr>
        <w:t>Doug Huber</w:t>
      </w:r>
      <w:r w:rsidR="002471AA" w:rsidRPr="00DD5EE6">
        <w:rPr>
          <w:rFonts w:cs="Arial"/>
        </w:rPr>
        <w:t xml:space="preserve">, </w:t>
      </w:r>
      <w:r w:rsidR="004A379C" w:rsidRPr="00DD5EE6">
        <w:rPr>
          <w:rFonts w:cs="Arial"/>
        </w:rPr>
        <w:t>Mayor</w:t>
      </w:r>
    </w:p>
    <w:p w14:paraId="2F7220EA" w14:textId="77777777" w:rsidR="00597717" w:rsidRPr="00DD5EE6" w:rsidRDefault="00597717" w:rsidP="00545924">
      <w:pPr>
        <w:tabs>
          <w:tab w:val="left" w:pos="360"/>
        </w:tabs>
        <w:jc w:val="both"/>
        <w:rPr>
          <w:rFonts w:cs="Arial"/>
        </w:rPr>
      </w:pPr>
    </w:p>
    <w:p w14:paraId="486586A7" w14:textId="77777777" w:rsidR="00597717" w:rsidRPr="00DD5EE6" w:rsidRDefault="00597717" w:rsidP="00545924">
      <w:pPr>
        <w:tabs>
          <w:tab w:val="left" w:pos="360"/>
        </w:tabs>
        <w:jc w:val="both"/>
        <w:rPr>
          <w:rFonts w:cs="Arial"/>
        </w:rPr>
      </w:pPr>
    </w:p>
    <w:p w14:paraId="79EB7FBE" w14:textId="77777777" w:rsidR="00597717" w:rsidRPr="00DD5EE6" w:rsidRDefault="00597717" w:rsidP="00545924">
      <w:pPr>
        <w:tabs>
          <w:tab w:val="left" w:pos="360"/>
        </w:tabs>
        <w:jc w:val="both"/>
        <w:rPr>
          <w:rFonts w:cs="Arial"/>
        </w:rPr>
      </w:pPr>
      <w:r w:rsidRPr="00DD5EE6">
        <w:rPr>
          <w:rFonts w:cs="Arial"/>
        </w:rPr>
        <w:t>Attest:</w:t>
      </w:r>
    </w:p>
    <w:p w14:paraId="5A909C60" w14:textId="77777777" w:rsidR="00597717" w:rsidRPr="00DD5EE6" w:rsidRDefault="00597717" w:rsidP="00545924">
      <w:pPr>
        <w:tabs>
          <w:tab w:val="left" w:pos="360"/>
        </w:tabs>
        <w:jc w:val="both"/>
        <w:rPr>
          <w:rFonts w:cs="Arial"/>
        </w:rPr>
      </w:pPr>
    </w:p>
    <w:p w14:paraId="78CBEE8E" w14:textId="77777777" w:rsidR="00597717" w:rsidRPr="00DD5EE6" w:rsidRDefault="00597717" w:rsidP="00545924">
      <w:pPr>
        <w:tabs>
          <w:tab w:val="left" w:pos="360"/>
        </w:tabs>
        <w:jc w:val="both"/>
        <w:rPr>
          <w:rFonts w:cs="Arial"/>
        </w:rPr>
      </w:pPr>
    </w:p>
    <w:p w14:paraId="428BBC11" w14:textId="77777777" w:rsidR="00597717" w:rsidRPr="00DD5EE6" w:rsidRDefault="00597717" w:rsidP="00545924">
      <w:pPr>
        <w:tabs>
          <w:tab w:val="left" w:pos="360"/>
        </w:tabs>
        <w:jc w:val="both"/>
        <w:rPr>
          <w:rFonts w:cs="Arial"/>
        </w:rPr>
      </w:pPr>
      <w:r w:rsidRPr="00DD5EE6">
        <w:rPr>
          <w:rFonts w:cs="Arial"/>
          <w:u w:val="single"/>
        </w:rPr>
        <w:tab/>
      </w:r>
      <w:r w:rsidRPr="00DD5EE6">
        <w:rPr>
          <w:rFonts w:cs="Arial"/>
          <w:u w:val="single"/>
        </w:rPr>
        <w:tab/>
      </w:r>
      <w:r w:rsidRPr="00DD5EE6">
        <w:rPr>
          <w:rFonts w:cs="Arial"/>
          <w:u w:val="single"/>
        </w:rPr>
        <w:tab/>
      </w:r>
      <w:r w:rsidRPr="00DD5EE6">
        <w:rPr>
          <w:rFonts w:cs="Arial"/>
          <w:u w:val="single"/>
        </w:rPr>
        <w:tab/>
      </w:r>
      <w:r w:rsidRPr="00DD5EE6">
        <w:rPr>
          <w:rFonts w:cs="Arial"/>
          <w:u w:val="single"/>
        </w:rPr>
        <w:tab/>
      </w:r>
      <w:r w:rsidRPr="00DD5EE6">
        <w:rPr>
          <w:rFonts w:cs="Arial"/>
          <w:u w:val="single"/>
        </w:rPr>
        <w:tab/>
      </w:r>
    </w:p>
    <w:p w14:paraId="05BAA308" w14:textId="5C373721" w:rsidR="00515B5C" w:rsidRPr="00DD5EE6" w:rsidRDefault="00861C74" w:rsidP="00545924">
      <w:pPr>
        <w:tabs>
          <w:tab w:val="left" w:pos="360"/>
        </w:tabs>
        <w:jc w:val="both"/>
        <w:rPr>
          <w:rFonts w:cs="Arial"/>
        </w:rPr>
      </w:pPr>
      <w:r w:rsidRPr="00DD5EE6">
        <w:rPr>
          <w:rFonts w:cs="Arial"/>
        </w:rPr>
        <w:t>Jana Tietjen</w:t>
      </w:r>
      <w:r w:rsidR="00DB350E" w:rsidRPr="00DD5EE6">
        <w:rPr>
          <w:rFonts w:cs="Arial"/>
        </w:rPr>
        <w:t xml:space="preserve">, </w:t>
      </w:r>
      <w:r w:rsidR="004A379C" w:rsidRPr="00DD5EE6">
        <w:rPr>
          <w:rFonts w:cs="Arial"/>
        </w:rPr>
        <w:t>City Clerk</w:t>
      </w:r>
    </w:p>
    <w:sectPr w:rsidR="00515B5C" w:rsidRPr="00DD5EE6" w:rsidSect="00DD5EE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245A" w14:textId="77777777" w:rsidR="00322249" w:rsidRDefault="00322249" w:rsidP="000A17F1">
      <w:r>
        <w:separator/>
      </w:r>
    </w:p>
  </w:endnote>
  <w:endnote w:type="continuationSeparator" w:id="0">
    <w:p w14:paraId="402C2E61" w14:textId="77777777" w:rsidR="00322249" w:rsidRDefault="00322249" w:rsidP="000A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9650" w14:textId="77777777" w:rsidR="00322249" w:rsidRDefault="00322249" w:rsidP="000A17F1">
      <w:r>
        <w:separator/>
      </w:r>
    </w:p>
  </w:footnote>
  <w:footnote w:type="continuationSeparator" w:id="0">
    <w:p w14:paraId="33A386E7" w14:textId="77777777" w:rsidR="00322249" w:rsidRDefault="00322249" w:rsidP="000A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E19F" w14:textId="75BACEE1" w:rsidR="000A17F1" w:rsidRDefault="000A17F1" w:rsidP="000A17F1">
    <w:pPr>
      <w:pStyle w:val="Header"/>
      <w:jc w:val="center"/>
      <w:rPr>
        <w:rFonts w:cs="Arial"/>
      </w:rPr>
    </w:pPr>
    <w:r w:rsidRPr="0058358D">
      <w:rPr>
        <w:rFonts w:cs="Arial"/>
      </w:rPr>
      <w:t xml:space="preserve">Ordinance No. </w:t>
    </w:r>
    <w:r w:rsidR="005D7E83" w:rsidRPr="0058358D">
      <w:rPr>
        <w:rFonts w:cs="Arial"/>
      </w:rPr>
      <w:t>______</w:t>
    </w:r>
  </w:p>
  <w:p w14:paraId="5B75711E" w14:textId="77777777" w:rsidR="00AE6AAF" w:rsidRPr="0058358D" w:rsidRDefault="00AE6AAF" w:rsidP="00AE6AAF">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8EC"/>
    <w:multiLevelType w:val="hybridMultilevel"/>
    <w:tmpl w:val="08D645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463F4"/>
    <w:multiLevelType w:val="hybridMultilevel"/>
    <w:tmpl w:val="AAB8C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25C7C"/>
    <w:multiLevelType w:val="hybridMultilevel"/>
    <w:tmpl w:val="AE86F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130BE"/>
    <w:multiLevelType w:val="hybridMultilevel"/>
    <w:tmpl w:val="326A8024"/>
    <w:lvl w:ilvl="0" w:tplc="75DC060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B95DCA"/>
    <w:multiLevelType w:val="multilevel"/>
    <w:tmpl w:val="A27848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295739AE"/>
    <w:multiLevelType w:val="multilevel"/>
    <w:tmpl w:val="F74495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B1921F2"/>
    <w:multiLevelType w:val="hybridMultilevel"/>
    <w:tmpl w:val="7ADA97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D069A8"/>
    <w:multiLevelType w:val="hybridMultilevel"/>
    <w:tmpl w:val="7402C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51871"/>
    <w:multiLevelType w:val="hybridMultilevel"/>
    <w:tmpl w:val="97A06B9C"/>
    <w:lvl w:ilvl="0" w:tplc="04090019">
      <w:start w:val="1"/>
      <w:numFmt w:val="lowerLetter"/>
      <w:lvlText w:val="%1."/>
      <w:lvlJc w:val="left"/>
      <w:pPr>
        <w:ind w:left="1440" w:hanging="360"/>
      </w:pPr>
      <w:rPr>
        <w:rFonts w:hint="default"/>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0C7546C"/>
    <w:multiLevelType w:val="hybridMultilevel"/>
    <w:tmpl w:val="DA72EF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C36A63"/>
    <w:multiLevelType w:val="hybridMultilevel"/>
    <w:tmpl w:val="B3C2A91E"/>
    <w:lvl w:ilvl="0" w:tplc="5770D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E3335D"/>
    <w:multiLevelType w:val="hybridMultilevel"/>
    <w:tmpl w:val="DBB66088"/>
    <w:lvl w:ilvl="0" w:tplc="BEE87470">
      <w:start w:val="1"/>
      <w:numFmt w:val="upperLetter"/>
      <w:pStyle w:val="Heading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F6814F7"/>
    <w:multiLevelType w:val="hybridMultilevel"/>
    <w:tmpl w:val="783E51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4751C1"/>
    <w:multiLevelType w:val="hybridMultilevel"/>
    <w:tmpl w:val="3CE81C52"/>
    <w:lvl w:ilvl="0" w:tplc="6CE4C708">
      <w:start w:val="1"/>
      <w:numFmt w:val="decimal"/>
      <w:lvlText w:val="%1."/>
      <w:lvlJc w:val="left"/>
      <w:pPr>
        <w:ind w:left="180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B075630"/>
    <w:multiLevelType w:val="hybridMultilevel"/>
    <w:tmpl w:val="6B900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345685"/>
    <w:multiLevelType w:val="hybridMultilevel"/>
    <w:tmpl w:val="F3D00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761107"/>
    <w:multiLevelType w:val="hybridMultilevel"/>
    <w:tmpl w:val="CC1CD5AC"/>
    <w:lvl w:ilvl="0" w:tplc="157213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6474E7"/>
    <w:multiLevelType w:val="hybridMultilevel"/>
    <w:tmpl w:val="327E7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FA10F8"/>
    <w:multiLevelType w:val="hybridMultilevel"/>
    <w:tmpl w:val="5BE0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57DC0"/>
    <w:multiLevelType w:val="hybridMultilevel"/>
    <w:tmpl w:val="3E105C4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80E0029"/>
    <w:multiLevelType w:val="multilevel"/>
    <w:tmpl w:val="843421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91D2AA6"/>
    <w:multiLevelType w:val="multilevel"/>
    <w:tmpl w:val="F74495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92F4BC4"/>
    <w:multiLevelType w:val="hybridMultilevel"/>
    <w:tmpl w:val="D6A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23373"/>
    <w:multiLevelType w:val="hybridMultilevel"/>
    <w:tmpl w:val="DB18A0CC"/>
    <w:lvl w:ilvl="0" w:tplc="70F28978">
      <w:start w:val="1"/>
      <w:numFmt w:val="upperLetter"/>
      <w:lvlText w:val="%1."/>
      <w:lvlJc w:val="left"/>
      <w:pPr>
        <w:ind w:left="360" w:hanging="360"/>
      </w:pPr>
      <w:rPr>
        <w:rFonts w:hint="default"/>
        <w:b/>
        <w:i w:val="0"/>
        <w:caps w:val="0"/>
        <w:strike w:val="0"/>
        <w:dstrike w:val="0"/>
        <w:vanish w:val="0"/>
        <w:color w:val="auto"/>
        <w:sz w:val="22"/>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
  </w:num>
  <w:num w:numId="3">
    <w:abstractNumId w:val="18"/>
  </w:num>
  <w:num w:numId="4">
    <w:abstractNumId w:val="12"/>
  </w:num>
  <w:num w:numId="5">
    <w:abstractNumId w:val="0"/>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13"/>
  </w:num>
  <w:num w:numId="13">
    <w:abstractNumId w:val="8"/>
  </w:num>
  <w:num w:numId="14">
    <w:abstractNumId w:val="1"/>
  </w:num>
  <w:num w:numId="15">
    <w:abstractNumId w:val="7"/>
  </w:num>
  <w:num w:numId="16">
    <w:abstractNumId w:val="10"/>
  </w:num>
  <w:num w:numId="17">
    <w:abstractNumId w:val="9"/>
  </w:num>
  <w:num w:numId="18">
    <w:abstractNumId w:val="23"/>
  </w:num>
  <w:num w:numId="19">
    <w:abstractNumId w:val="2"/>
  </w:num>
  <w:num w:numId="20">
    <w:abstractNumId w:val="22"/>
  </w:num>
  <w:num w:numId="21">
    <w:abstractNumId w:val="15"/>
  </w:num>
  <w:num w:numId="22">
    <w:abstractNumId w:val="14"/>
  </w:num>
  <w:num w:numId="23">
    <w:abstractNumId w:val="20"/>
  </w:num>
  <w:num w:numId="24">
    <w:abstractNumId w:val="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1"/>
    <w:rsid w:val="000064DC"/>
    <w:rsid w:val="0002236F"/>
    <w:rsid w:val="00032C2E"/>
    <w:rsid w:val="00035F2D"/>
    <w:rsid w:val="00050109"/>
    <w:rsid w:val="00071BC3"/>
    <w:rsid w:val="00071D30"/>
    <w:rsid w:val="00074C9B"/>
    <w:rsid w:val="00090845"/>
    <w:rsid w:val="000A17F1"/>
    <w:rsid w:val="000A7F73"/>
    <w:rsid w:val="000B6D74"/>
    <w:rsid w:val="000C055B"/>
    <w:rsid w:val="000C1C50"/>
    <w:rsid w:val="000C6A9D"/>
    <w:rsid w:val="001044C6"/>
    <w:rsid w:val="00104730"/>
    <w:rsid w:val="001500F9"/>
    <w:rsid w:val="00187658"/>
    <w:rsid w:val="001B20BA"/>
    <w:rsid w:val="001B3935"/>
    <w:rsid w:val="001C54FB"/>
    <w:rsid w:val="001C7965"/>
    <w:rsid w:val="001D3F8E"/>
    <w:rsid w:val="001E377B"/>
    <w:rsid w:val="00203321"/>
    <w:rsid w:val="00206A15"/>
    <w:rsid w:val="00212B7D"/>
    <w:rsid w:val="00223BA1"/>
    <w:rsid w:val="00236873"/>
    <w:rsid w:val="0024052F"/>
    <w:rsid w:val="002471AA"/>
    <w:rsid w:val="002579F5"/>
    <w:rsid w:val="00263325"/>
    <w:rsid w:val="00263812"/>
    <w:rsid w:val="00272D02"/>
    <w:rsid w:val="0027724C"/>
    <w:rsid w:val="00280F92"/>
    <w:rsid w:val="00281BD0"/>
    <w:rsid w:val="00281E3B"/>
    <w:rsid w:val="00297652"/>
    <w:rsid w:val="002B0186"/>
    <w:rsid w:val="002E2818"/>
    <w:rsid w:val="00311643"/>
    <w:rsid w:val="00312279"/>
    <w:rsid w:val="0031707F"/>
    <w:rsid w:val="003218CE"/>
    <w:rsid w:val="00322249"/>
    <w:rsid w:val="00323EF4"/>
    <w:rsid w:val="00327FDC"/>
    <w:rsid w:val="00362E57"/>
    <w:rsid w:val="003631D5"/>
    <w:rsid w:val="00381D80"/>
    <w:rsid w:val="003876D1"/>
    <w:rsid w:val="0039189D"/>
    <w:rsid w:val="003A61EB"/>
    <w:rsid w:val="003A711B"/>
    <w:rsid w:val="003B7443"/>
    <w:rsid w:val="003E08B1"/>
    <w:rsid w:val="00405069"/>
    <w:rsid w:val="00427E96"/>
    <w:rsid w:val="0045459D"/>
    <w:rsid w:val="00463C47"/>
    <w:rsid w:val="00496A32"/>
    <w:rsid w:val="004A379C"/>
    <w:rsid w:val="004A5CB4"/>
    <w:rsid w:val="004B6D39"/>
    <w:rsid w:val="004F0D57"/>
    <w:rsid w:val="005047E8"/>
    <w:rsid w:val="00515B5C"/>
    <w:rsid w:val="00530A9D"/>
    <w:rsid w:val="00545924"/>
    <w:rsid w:val="00566BE6"/>
    <w:rsid w:val="0058318A"/>
    <w:rsid w:val="0058358D"/>
    <w:rsid w:val="005957D9"/>
    <w:rsid w:val="005961A4"/>
    <w:rsid w:val="00597717"/>
    <w:rsid w:val="005B1DE1"/>
    <w:rsid w:val="005C2A06"/>
    <w:rsid w:val="005C7838"/>
    <w:rsid w:val="005D7E83"/>
    <w:rsid w:val="005F515D"/>
    <w:rsid w:val="00616FE0"/>
    <w:rsid w:val="0063162B"/>
    <w:rsid w:val="00655D34"/>
    <w:rsid w:val="006671EA"/>
    <w:rsid w:val="00683940"/>
    <w:rsid w:val="006853F4"/>
    <w:rsid w:val="00697DAE"/>
    <w:rsid w:val="006B11B5"/>
    <w:rsid w:val="006C727F"/>
    <w:rsid w:val="006F38A3"/>
    <w:rsid w:val="007438E0"/>
    <w:rsid w:val="00744432"/>
    <w:rsid w:val="007517E5"/>
    <w:rsid w:val="007A3211"/>
    <w:rsid w:val="007A5795"/>
    <w:rsid w:val="007B12B6"/>
    <w:rsid w:val="007B4CD3"/>
    <w:rsid w:val="007B74FC"/>
    <w:rsid w:val="007C012F"/>
    <w:rsid w:val="007E1AE7"/>
    <w:rsid w:val="008058AB"/>
    <w:rsid w:val="00807258"/>
    <w:rsid w:val="00817A5A"/>
    <w:rsid w:val="008201DF"/>
    <w:rsid w:val="0083007B"/>
    <w:rsid w:val="00832B97"/>
    <w:rsid w:val="00833E31"/>
    <w:rsid w:val="00855F74"/>
    <w:rsid w:val="008570DC"/>
    <w:rsid w:val="00857FB0"/>
    <w:rsid w:val="00861C74"/>
    <w:rsid w:val="008B4AA1"/>
    <w:rsid w:val="008C48B7"/>
    <w:rsid w:val="008F020F"/>
    <w:rsid w:val="008F531A"/>
    <w:rsid w:val="008F543A"/>
    <w:rsid w:val="00902952"/>
    <w:rsid w:val="00923A7A"/>
    <w:rsid w:val="00985F46"/>
    <w:rsid w:val="009F2408"/>
    <w:rsid w:val="009F5172"/>
    <w:rsid w:val="00A16ACB"/>
    <w:rsid w:val="00A22090"/>
    <w:rsid w:val="00A402DF"/>
    <w:rsid w:val="00A94BC7"/>
    <w:rsid w:val="00AA7EE4"/>
    <w:rsid w:val="00AC5E11"/>
    <w:rsid w:val="00AE2DEC"/>
    <w:rsid w:val="00AE6AAF"/>
    <w:rsid w:val="00AF39AB"/>
    <w:rsid w:val="00B0033F"/>
    <w:rsid w:val="00B47CA6"/>
    <w:rsid w:val="00B57B6E"/>
    <w:rsid w:val="00B61704"/>
    <w:rsid w:val="00B6393F"/>
    <w:rsid w:val="00B85AA1"/>
    <w:rsid w:val="00B94FE2"/>
    <w:rsid w:val="00BA1DAF"/>
    <w:rsid w:val="00BE5E6F"/>
    <w:rsid w:val="00BE677D"/>
    <w:rsid w:val="00C26E7D"/>
    <w:rsid w:val="00C37E4B"/>
    <w:rsid w:val="00C45292"/>
    <w:rsid w:val="00C717D7"/>
    <w:rsid w:val="00CD60B9"/>
    <w:rsid w:val="00CD6DB7"/>
    <w:rsid w:val="00CF50E3"/>
    <w:rsid w:val="00D103B6"/>
    <w:rsid w:val="00D548C9"/>
    <w:rsid w:val="00D63298"/>
    <w:rsid w:val="00D7029C"/>
    <w:rsid w:val="00DA1772"/>
    <w:rsid w:val="00DA24E2"/>
    <w:rsid w:val="00DB350E"/>
    <w:rsid w:val="00DD24C7"/>
    <w:rsid w:val="00DD5EE6"/>
    <w:rsid w:val="00DF4654"/>
    <w:rsid w:val="00DF62CF"/>
    <w:rsid w:val="00E15F43"/>
    <w:rsid w:val="00E31EA9"/>
    <w:rsid w:val="00E36F32"/>
    <w:rsid w:val="00E54BC4"/>
    <w:rsid w:val="00E55707"/>
    <w:rsid w:val="00E56D77"/>
    <w:rsid w:val="00E62D40"/>
    <w:rsid w:val="00E83D9A"/>
    <w:rsid w:val="00E845F0"/>
    <w:rsid w:val="00E94EAC"/>
    <w:rsid w:val="00E97571"/>
    <w:rsid w:val="00EB658F"/>
    <w:rsid w:val="00EE0021"/>
    <w:rsid w:val="00EF71D8"/>
    <w:rsid w:val="00F11AC4"/>
    <w:rsid w:val="00F23577"/>
    <w:rsid w:val="00F32838"/>
    <w:rsid w:val="00F3576F"/>
    <w:rsid w:val="00F40A09"/>
    <w:rsid w:val="00F41491"/>
    <w:rsid w:val="00F461AF"/>
    <w:rsid w:val="00F47A6E"/>
    <w:rsid w:val="00F51937"/>
    <w:rsid w:val="00F658E3"/>
    <w:rsid w:val="00F6657E"/>
    <w:rsid w:val="00F7068E"/>
    <w:rsid w:val="00F96E03"/>
    <w:rsid w:val="00FA2D30"/>
    <w:rsid w:val="00FB1E11"/>
    <w:rsid w:val="00FB44FD"/>
    <w:rsid w:val="00FC24BC"/>
    <w:rsid w:val="00FC6428"/>
    <w:rsid w:val="00FC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D87"/>
  <w15:docId w15:val="{4805C6B8-7221-4EFE-B177-4ACE5CBA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E6"/>
    <w:rPr>
      <w:rFonts w:ascii="Arial" w:eastAsia="Times New Roman" w:hAnsi="Arial" w:cs="Times New Roman"/>
      <w:szCs w:val="24"/>
    </w:rPr>
  </w:style>
  <w:style w:type="paragraph" w:styleId="Heading1">
    <w:name w:val="heading 1"/>
    <w:basedOn w:val="Normal"/>
    <w:next w:val="Normal"/>
    <w:link w:val="Heading1Char"/>
    <w:uiPriority w:val="9"/>
    <w:qFormat/>
    <w:rsid w:val="000064DC"/>
    <w:pPr>
      <w:keepNext/>
      <w:ind w:left="720"/>
      <w:jc w:val="both"/>
      <w:outlineLvl w:val="0"/>
    </w:pPr>
    <w:rPr>
      <w:rFonts w:cs="Arial"/>
      <w:b/>
    </w:rPr>
  </w:style>
  <w:style w:type="paragraph" w:styleId="Heading2">
    <w:name w:val="heading 2"/>
    <w:basedOn w:val="ListParagraph"/>
    <w:next w:val="Normal"/>
    <w:link w:val="Heading2Char"/>
    <w:uiPriority w:val="9"/>
    <w:semiHidden/>
    <w:unhideWhenUsed/>
    <w:qFormat/>
    <w:rsid w:val="0031707F"/>
    <w:pPr>
      <w:numPr>
        <w:numId w:val="7"/>
      </w:numPr>
      <w:ind w:left="1440" w:hanging="720"/>
      <w:jc w:val="both"/>
      <w:outlineLvl w:val="1"/>
    </w:pPr>
    <w:rPr>
      <w:rFonts w:cstheme="minorBidi"/>
      <w:szCs w:val="22"/>
    </w:rPr>
  </w:style>
  <w:style w:type="paragraph" w:styleId="Heading3">
    <w:name w:val="heading 3"/>
    <w:basedOn w:val="Normal"/>
    <w:next w:val="Normal"/>
    <w:link w:val="Heading3Char"/>
    <w:uiPriority w:val="9"/>
    <w:unhideWhenUsed/>
    <w:qFormat/>
    <w:rsid w:val="00236873"/>
    <w:pPr>
      <w:keepNext/>
      <w:tabs>
        <w:tab w:val="left" w:pos="360"/>
      </w:tabs>
      <w:jc w:val="center"/>
      <w:outlineLvl w:val="2"/>
    </w:pPr>
    <w:rPr>
      <w:rFonts w:cs="Arial"/>
      <w:b/>
      <w:u w:val="single"/>
    </w:rPr>
  </w:style>
  <w:style w:type="paragraph" w:styleId="Heading4">
    <w:name w:val="heading 4"/>
    <w:basedOn w:val="Normal"/>
    <w:next w:val="Normal"/>
    <w:link w:val="Heading4Char"/>
    <w:uiPriority w:val="9"/>
    <w:unhideWhenUsed/>
    <w:qFormat/>
    <w:rsid w:val="00236873"/>
    <w:pPr>
      <w:keepNext/>
      <w:framePr w:hSpace="180" w:wrap="around" w:vAnchor="text" w:hAnchor="margin" w:xAlign="right" w:y="203"/>
      <w:tabs>
        <w:tab w:val="left" w:pos="360"/>
      </w:tabs>
      <w:jc w:val="center"/>
      <w:outlineLvl w:val="3"/>
    </w:pPr>
    <w:rPr>
      <w:rFonts w:cs="Arial"/>
      <w:b/>
      <w:u w:val="single"/>
    </w:rPr>
  </w:style>
  <w:style w:type="paragraph" w:styleId="Heading5">
    <w:name w:val="heading 5"/>
    <w:basedOn w:val="Normal"/>
    <w:next w:val="Normal"/>
    <w:link w:val="Heading5Char"/>
    <w:uiPriority w:val="9"/>
    <w:unhideWhenUsed/>
    <w:qFormat/>
    <w:rsid w:val="00807258"/>
    <w:pPr>
      <w:keepNext/>
      <w:tabs>
        <w:tab w:val="left" w:pos="360"/>
      </w:tabs>
      <w:jc w:val="both"/>
      <w:outlineLvl w:val="4"/>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7F1"/>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0A17F1"/>
  </w:style>
  <w:style w:type="paragraph" w:styleId="Footer">
    <w:name w:val="footer"/>
    <w:basedOn w:val="Normal"/>
    <w:link w:val="FooterChar"/>
    <w:uiPriority w:val="99"/>
    <w:unhideWhenUsed/>
    <w:rsid w:val="000A17F1"/>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0A17F1"/>
  </w:style>
  <w:style w:type="paragraph" w:styleId="BodyText">
    <w:name w:val="Body Text"/>
    <w:basedOn w:val="Normal"/>
    <w:link w:val="BodyTextChar"/>
    <w:rsid w:val="00E56D77"/>
    <w:rPr>
      <w:b/>
      <w:bCs/>
      <w:sz w:val="28"/>
      <w:szCs w:val="20"/>
    </w:rPr>
  </w:style>
  <w:style w:type="character" w:customStyle="1" w:styleId="BodyTextChar">
    <w:name w:val="Body Text Char"/>
    <w:basedOn w:val="DefaultParagraphFont"/>
    <w:link w:val="BodyText"/>
    <w:rsid w:val="00E56D77"/>
    <w:rPr>
      <w:rFonts w:eastAsia="Times New Roman" w:cs="Times New Roman"/>
      <w:b/>
      <w:bCs/>
      <w:sz w:val="28"/>
      <w:szCs w:val="20"/>
    </w:rPr>
  </w:style>
  <w:style w:type="paragraph" w:styleId="ListParagraph">
    <w:name w:val="List Paragraph"/>
    <w:basedOn w:val="Normal"/>
    <w:uiPriority w:val="34"/>
    <w:qFormat/>
    <w:rsid w:val="00E56D77"/>
    <w:pPr>
      <w:ind w:left="720"/>
      <w:contextualSpacing/>
    </w:pPr>
  </w:style>
  <w:style w:type="table" w:styleId="TableGrid">
    <w:name w:val="Table Grid"/>
    <w:basedOn w:val="TableNormal"/>
    <w:uiPriority w:val="59"/>
    <w:rsid w:val="00985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707"/>
    <w:rPr>
      <w:rFonts w:ascii="Tahoma" w:hAnsi="Tahoma" w:cs="Tahoma"/>
      <w:sz w:val="16"/>
      <w:szCs w:val="16"/>
    </w:rPr>
  </w:style>
  <w:style w:type="character" w:customStyle="1" w:styleId="BalloonTextChar">
    <w:name w:val="Balloon Text Char"/>
    <w:basedOn w:val="DefaultParagraphFont"/>
    <w:link w:val="BalloonText"/>
    <w:uiPriority w:val="99"/>
    <w:semiHidden/>
    <w:rsid w:val="00E55707"/>
    <w:rPr>
      <w:rFonts w:ascii="Tahoma" w:eastAsia="Times New Roman" w:hAnsi="Tahoma" w:cs="Tahoma"/>
      <w:sz w:val="16"/>
      <w:szCs w:val="16"/>
    </w:rPr>
  </w:style>
  <w:style w:type="paragraph" w:styleId="BodyTextIndent">
    <w:name w:val="Body Text Indent"/>
    <w:basedOn w:val="Normal"/>
    <w:link w:val="BodyTextIndentChar"/>
    <w:uiPriority w:val="99"/>
    <w:unhideWhenUsed/>
    <w:rsid w:val="0031707F"/>
    <w:pPr>
      <w:tabs>
        <w:tab w:val="left" w:pos="720"/>
      </w:tabs>
      <w:ind w:left="720"/>
      <w:jc w:val="both"/>
    </w:pPr>
    <w:rPr>
      <w:rFonts w:cs="Arial"/>
    </w:rPr>
  </w:style>
  <w:style w:type="character" w:customStyle="1" w:styleId="BodyTextIndentChar">
    <w:name w:val="Body Text Indent Char"/>
    <w:basedOn w:val="DefaultParagraphFont"/>
    <w:link w:val="BodyTextIndent"/>
    <w:uiPriority w:val="99"/>
    <w:rsid w:val="0031707F"/>
    <w:rPr>
      <w:rFonts w:ascii="Arial" w:eastAsia="Times New Roman" w:hAnsi="Arial" w:cs="Arial"/>
      <w:szCs w:val="24"/>
    </w:rPr>
  </w:style>
  <w:style w:type="character" w:customStyle="1" w:styleId="Heading2Char">
    <w:name w:val="Heading 2 Char"/>
    <w:basedOn w:val="DefaultParagraphFont"/>
    <w:link w:val="Heading2"/>
    <w:uiPriority w:val="9"/>
    <w:semiHidden/>
    <w:rsid w:val="0031707F"/>
    <w:rPr>
      <w:rFonts w:eastAsia="Times New Roman"/>
    </w:rPr>
  </w:style>
  <w:style w:type="paragraph" w:styleId="BodyTextIndent2">
    <w:name w:val="Body Text Indent 2"/>
    <w:basedOn w:val="Normal"/>
    <w:link w:val="BodyTextIndent2Char"/>
    <w:uiPriority w:val="99"/>
    <w:unhideWhenUsed/>
    <w:rsid w:val="0083007B"/>
    <w:pPr>
      <w:tabs>
        <w:tab w:val="left" w:pos="720"/>
      </w:tabs>
      <w:ind w:left="1080"/>
      <w:jc w:val="both"/>
    </w:pPr>
    <w:rPr>
      <w:rFonts w:cs="Arial"/>
    </w:rPr>
  </w:style>
  <w:style w:type="character" w:customStyle="1" w:styleId="BodyTextIndent2Char">
    <w:name w:val="Body Text Indent 2 Char"/>
    <w:basedOn w:val="DefaultParagraphFont"/>
    <w:link w:val="BodyTextIndent2"/>
    <w:uiPriority w:val="99"/>
    <w:rsid w:val="0083007B"/>
    <w:rPr>
      <w:rFonts w:ascii="Arial" w:eastAsia="Times New Roman" w:hAnsi="Arial" w:cs="Arial"/>
      <w:szCs w:val="24"/>
    </w:rPr>
  </w:style>
  <w:style w:type="paragraph" w:styleId="BodyTextIndent3">
    <w:name w:val="Body Text Indent 3"/>
    <w:basedOn w:val="Normal"/>
    <w:link w:val="BodyTextIndent3Char"/>
    <w:uiPriority w:val="99"/>
    <w:unhideWhenUsed/>
    <w:rsid w:val="00EB658F"/>
    <w:pPr>
      <w:tabs>
        <w:tab w:val="left" w:pos="1080"/>
      </w:tabs>
      <w:overflowPunct w:val="0"/>
      <w:autoSpaceDE w:val="0"/>
      <w:autoSpaceDN w:val="0"/>
      <w:adjustRightInd w:val="0"/>
      <w:ind w:left="1080" w:hanging="360"/>
      <w:jc w:val="both"/>
      <w:textAlignment w:val="baseline"/>
    </w:pPr>
    <w:rPr>
      <w:rFonts w:cs="Arial"/>
    </w:rPr>
  </w:style>
  <w:style w:type="character" w:customStyle="1" w:styleId="BodyTextIndent3Char">
    <w:name w:val="Body Text Indent 3 Char"/>
    <w:basedOn w:val="DefaultParagraphFont"/>
    <w:link w:val="BodyTextIndent3"/>
    <w:uiPriority w:val="99"/>
    <w:rsid w:val="00EB658F"/>
    <w:rPr>
      <w:rFonts w:ascii="Arial" w:eastAsia="Times New Roman" w:hAnsi="Arial" w:cs="Arial"/>
      <w:szCs w:val="24"/>
    </w:rPr>
  </w:style>
  <w:style w:type="character" w:customStyle="1" w:styleId="Heading1Char">
    <w:name w:val="Heading 1 Char"/>
    <w:basedOn w:val="DefaultParagraphFont"/>
    <w:link w:val="Heading1"/>
    <w:uiPriority w:val="9"/>
    <w:rsid w:val="000064DC"/>
    <w:rPr>
      <w:rFonts w:ascii="Arial" w:eastAsia="Times New Roman" w:hAnsi="Arial" w:cs="Arial"/>
      <w:b/>
      <w:szCs w:val="24"/>
    </w:rPr>
  </w:style>
  <w:style w:type="character" w:customStyle="1" w:styleId="Heading3Char">
    <w:name w:val="Heading 3 Char"/>
    <w:basedOn w:val="DefaultParagraphFont"/>
    <w:link w:val="Heading3"/>
    <w:uiPriority w:val="9"/>
    <w:rsid w:val="00236873"/>
    <w:rPr>
      <w:rFonts w:ascii="Arial" w:eastAsia="Times New Roman" w:hAnsi="Arial" w:cs="Arial"/>
      <w:b/>
      <w:szCs w:val="24"/>
      <w:u w:val="single"/>
    </w:rPr>
  </w:style>
  <w:style w:type="character" w:customStyle="1" w:styleId="Heading4Char">
    <w:name w:val="Heading 4 Char"/>
    <w:basedOn w:val="DefaultParagraphFont"/>
    <w:link w:val="Heading4"/>
    <w:uiPriority w:val="9"/>
    <w:rsid w:val="00236873"/>
    <w:rPr>
      <w:rFonts w:ascii="Arial" w:eastAsia="Times New Roman" w:hAnsi="Arial" w:cs="Arial"/>
      <w:b/>
      <w:szCs w:val="24"/>
      <w:u w:val="single"/>
    </w:rPr>
  </w:style>
  <w:style w:type="character" w:styleId="CommentReference">
    <w:name w:val="annotation reference"/>
    <w:basedOn w:val="DefaultParagraphFont"/>
    <w:uiPriority w:val="99"/>
    <w:semiHidden/>
    <w:unhideWhenUsed/>
    <w:rsid w:val="007B12B6"/>
    <w:rPr>
      <w:sz w:val="16"/>
      <w:szCs w:val="16"/>
    </w:rPr>
  </w:style>
  <w:style w:type="paragraph" w:styleId="CommentText">
    <w:name w:val="annotation text"/>
    <w:basedOn w:val="Normal"/>
    <w:link w:val="CommentTextChar"/>
    <w:uiPriority w:val="99"/>
    <w:unhideWhenUsed/>
    <w:rsid w:val="007B12B6"/>
    <w:rPr>
      <w:sz w:val="20"/>
      <w:szCs w:val="20"/>
    </w:rPr>
  </w:style>
  <w:style w:type="character" w:customStyle="1" w:styleId="CommentTextChar">
    <w:name w:val="Comment Text Char"/>
    <w:basedOn w:val="DefaultParagraphFont"/>
    <w:link w:val="CommentText"/>
    <w:uiPriority w:val="99"/>
    <w:rsid w:val="007B12B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2B6"/>
    <w:rPr>
      <w:b/>
      <w:bCs/>
    </w:rPr>
  </w:style>
  <w:style w:type="character" w:customStyle="1" w:styleId="CommentSubjectChar">
    <w:name w:val="Comment Subject Char"/>
    <w:basedOn w:val="CommentTextChar"/>
    <w:link w:val="CommentSubject"/>
    <w:uiPriority w:val="99"/>
    <w:semiHidden/>
    <w:rsid w:val="007B12B6"/>
    <w:rPr>
      <w:rFonts w:eastAsia="Times New Roman" w:cs="Times New Roman"/>
      <w:b/>
      <w:bCs/>
      <w:sz w:val="20"/>
      <w:szCs w:val="20"/>
    </w:rPr>
  </w:style>
  <w:style w:type="paragraph" w:styleId="Revision">
    <w:name w:val="Revision"/>
    <w:hidden/>
    <w:uiPriority w:val="99"/>
    <w:semiHidden/>
    <w:rsid w:val="007B12B6"/>
    <w:rPr>
      <w:rFonts w:eastAsia="Times New Roman" w:cs="Times New Roman"/>
      <w:szCs w:val="24"/>
    </w:rPr>
  </w:style>
  <w:style w:type="character" w:customStyle="1" w:styleId="Heading5Char">
    <w:name w:val="Heading 5 Char"/>
    <w:basedOn w:val="DefaultParagraphFont"/>
    <w:link w:val="Heading5"/>
    <w:uiPriority w:val="9"/>
    <w:rsid w:val="00807258"/>
    <w:rPr>
      <w:rFonts w:ascii="Arial" w:eastAsia="Times New Roman" w:hAnsi="Arial" w:cs="Arial"/>
      <w:sz w:val="22"/>
    </w:rPr>
  </w:style>
  <w:style w:type="paragraph" w:customStyle="1" w:styleId="m2401158280442057269msonospacing">
    <w:name w:val="m_2401158280442057269msonospacing"/>
    <w:basedOn w:val="Normal"/>
    <w:rsid w:val="004B6D39"/>
    <w:pPr>
      <w:spacing w:before="100" w:beforeAutospacing="1" w:after="100" w:afterAutospacing="1"/>
    </w:pPr>
  </w:style>
  <w:style w:type="paragraph" w:styleId="BodyText2">
    <w:name w:val="Body Text 2"/>
    <w:basedOn w:val="Normal"/>
    <w:link w:val="BodyText2Char"/>
    <w:uiPriority w:val="99"/>
    <w:unhideWhenUsed/>
    <w:rsid w:val="00DD5EE6"/>
    <w:pPr>
      <w:jc w:val="both"/>
    </w:pPr>
    <w:rPr>
      <w:rFonts w:cs="Arial"/>
      <w:sz w:val="22"/>
      <w:szCs w:val="22"/>
    </w:rPr>
  </w:style>
  <w:style w:type="character" w:customStyle="1" w:styleId="BodyText2Char">
    <w:name w:val="Body Text 2 Char"/>
    <w:basedOn w:val="DefaultParagraphFont"/>
    <w:link w:val="BodyText2"/>
    <w:uiPriority w:val="99"/>
    <w:rsid w:val="00DD5EE6"/>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1879">
      <w:bodyDiv w:val="1"/>
      <w:marLeft w:val="0"/>
      <w:marRight w:val="0"/>
      <w:marTop w:val="0"/>
      <w:marBottom w:val="0"/>
      <w:divBdr>
        <w:top w:val="none" w:sz="0" w:space="0" w:color="auto"/>
        <w:left w:val="none" w:sz="0" w:space="0" w:color="auto"/>
        <w:bottom w:val="none" w:sz="0" w:space="0" w:color="auto"/>
        <w:right w:val="none" w:sz="0" w:space="0" w:color="auto"/>
      </w:divBdr>
    </w:div>
    <w:div w:id="998576514">
      <w:bodyDiv w:val="1"/>
      <w:marLeft w:val="0"/>
      <w:marRight w:val="0"/>
      <w:marTop w:val="0"/>
      <w:marBottom w:val="0"/>
      <w:divBdr>
        <w:top w:val="none" w:sz="0" w:space="0" w:color="auto"/>
        <w:left w:val="none" w:sz="0" w:space="0" w:color="auto"/>
        <w:bottom w:val="none" w:sz="0" w:space="0" w:color="auto"/>
        <w:right w:val="none" w:sz="0" w:space="0" w:color="auto"/>
      </w:divBdr>
    </w:div>
    <w:div w:id="120174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Mussman</dc:creator>
  <cp:lastModifiedBy>Jana</cp:lastModifiedBy>
  <cp:revision>2</cp:revision>
  <cp:lastPrinted>2021-10-04T14:26:00Z</cp:lastPrinted>
  <dcterms:created xsi:type="dcterms:W3CDTF">2021-10-04T14:55:00Z</dcterms:created>
  <dcterms:modified xsi:type="dcterms:W3CDTF">2021-10-04T14:55:00Z</dcterms:modified>
</cp:coreProperties>
</file>